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E69" w:rsidRPr="00AA314D" w:rsidRDefault="00A60B67" w:rsidP="004A3544">
      <w:pPr>
        <w:pStyle w:val="Titel"/>
      </w:pPr>
      <w:r w:rsidRPr="00AA314D">
        <w:t>Die UN-</w:t>
      </w:r>
      <w:r w:rsidR="008E04F1" w:rsidRPr="00AA314D">
        <w:t>„</w:t>
      </w:r>
      <w:r w:rsidR="006A5E69" w:rsidRPr="00AA314D">
        <w:t>Frauenrecht</w:t>
      </w:r>
      <w:r w:rsidRPr="00AA314D">
        <w:t>skonvention</w:t>
      </w:r>
      <w:r w:rsidR="008E04F1" w:rsidRPr="00AA314D">
        <w:t>“</w:t>
      </w:r>
      <w:r w:rsidRPr="00AA314D">
        <w:t xml:space="preserve"> CEDAW</w:t>
      </w:r>
      <w:r w:rsidR="00870A2F">
        <w:t xml:space="preserve"> – </w:t>
      </w:r>
      <w:r w:rsidR="002854BC">
        <w:t>universeller Maßstab</w:t>
      </w:r>
      <w:r w:rsidR="00870A2F">
        <w:t xml:space="preserve"> </w:t>
      </w:r>
      <w:r w:rsidR="002854BC">
        <w:t>für alle Politikbereiche</w:t>
      </w:r>
    </w:p>
    <w:p w:rsidR="006A5E69" w:rsidRPr="001F48EA" w:rsidRDefault="006A5E69" w:rsidP="001F48EA">
      <w:pPr>
        <w:jc w:val="center"/>
      </w:pPr>
      <w:r w:rsidRPr="001F48EA">
        <w:t>Beate Rudolf</w:t>
      </w:r>
      <w:r w:rsidRPr="001F48EA">
        <w:rPr>
          <w:rStyle w:val="Funotenzeichen"/>
          <w:rFonts w:ascii="Microsoft Sans Serif" w:hAnsi="Microsoft Sans Serif" w:cs="Microsoft Sans Serif"/>
        </w:rPr>
        <w:footnoteReference w:id="1"/>
      </w:r>
    </w:p>
    <w:p w:rsidR="006A5E69" w:rsidRPr="001F48EA" w:rsidRDefault="00A60B67" w:rsidP="000A19C7">
      <w:pPr>
        <w:pStyle w:val="berschrift1"/>
      </w:pPr>
      <w:r w:rsidRPr="001F48EA">
        <w:t xml:space="preserve">Warum eine </w:t>
      </w:r>
      <w:r w:rsidR="006A5E69" w:rsidRPr="001F48EA">
        <w:t>„Frauenrecht</w:t>
      </w:r>
      <w:r w:rsidRPr="001F48EA">
        <w:t>skonvention</w:t>
      </w:r>
      <w:r w:rsidR="006A5E69" w:rsidRPr="001F48EA">
        <w:t>“?</w:t>
      </w:r>
    </w:p>
    <w:p w:rsidR="00A60B67" w:rsidRPr="00AA314D" w:rsidRDefault="006A5E69" w:rsidP="001F48EA">
      <w:r w:rsidRPr="00AA314D">
        <w:t xml:space="preserve">Die Menschenrechte versprechen Freiheit und Gleichheit für alle Menschen </w:t>
      </w:r>
      <w:r w:rsidR="002854BC">
        <w:noBreakHyphen/>
      </w:r>
      <w:r w:rsidRPr="00AA314D">
        <w:t xml:space="preserve"> unabhängig vom Geschlecht. </w:t>
      </w:r>
      <w:r w:rsidR="00A60B67" w:rsidRPr="00AA314D">
        <w:t xml:space="preserve">Warum </w:t>
      </w:r>
      <w:r w:rsidR="00467B49" w:rsidRPr="00AA314D">
        <w:t xml:space="preserve">gibt es </w:t>
      </w:r>
      <w:r w:rsidR="00A60B67" w:rsidRPr="00AA314D">
        <w:t xml:space="preserve">dann </w:t>
      </w:r>
      <w:r w:rsidR="00467B49" w:rsidRPr="00AA314D">
        <w:t xml:space="preserve">aber seit 1979 </w:t>
      </w:r>
      <w:r w:rsidR="00A60B67" w:rsidRPr="00AA314D">
        <w:t>eine</w:t>
      </w:r>
      <w:r w:rsidR="00467B49" w:rsidRPr="00AA314D">
        <w:t>n</w:t>
      </w:r>
      <w:r w:rsidR="00A60B67" w:rsidRPr="00AA314D">
        <w:t xml:space="preserve"> eigenen Menschenrechtsvertrag </w:t>
      </w:r>
      <w:r w:rsidR="00467B49" w:rsidRPr="00AA314D">
        <w:t>für Frauen, das UN-Übereinkommen über die Beseitigung jeder Form von Diskriminierung der Frau (</w:t>
      </w:r>
      <w:r w:rsidR="00467B49" w:rsidRPr="00AA314D">
        <w:rPr>
          <w:b/>
        </w:rPr>
        <w:t>C</w:t>
      </w:r>
      <w:r w:rsidR="00467B49" w:rsidRPr="00AA314D">
        <w:t xml:space="preserve">onvention on the </w:t>
      </w:r>
      <w:r w:rsidR="00467B49" w:rsidRPr="00AA314D">
        <w:rPr>
          <w:b/>
        </w:rPr>
        <w:t>E</w:t>
      </w:r>
      <w:r w:rsidR="00467B49" w:rsidRPr="00AA314D">
        <w:t xml:space="preserve">limination of </w:t>
      </w:r>
      <w:r w:rsidR="00467B49" w:rsidRPr="00AA314D">
        <w:rPr>
          <w:b/>
        </w:rPr>
        <w:t>D</w:t>
      </w:r>
      <w:r w:rsidR="00467B49" w:rsidRPr="00AA314D">
        <w:t xml:space="preserve">iscrimination </w:t>
      </w:r>
      <w:r w:rsidR="00467B49" w:rsidRPr="00AA314D">
        <w:rPr>
          <w:b/>
        </w:rPr>
        <w:t>a</w:t>
      </w:r>
      <w:r w:rsidR="00467B49" w:rsidRPr="00AA314D">
        <w:t>gainst Women, CEDAW)</w:t>
      </w:r>
      <w:r w:rsidR="004C1492" w:rsidRPr="00AA314D">
        <w:t>?</w:t>
      </w:r>
    </w:p>
    <w:p w:rsidR="008E04F1" w:rsidRPr="00AA314D" w:rsidRDefault="008E04F1" w:rsidP="001F48EA">
      <w:r w:rsidRPr="00AA314D">
        <w:t>Die Allgemeine Erklärung der Menschenrechte, mit der 1948 der internationale Schutz der Menschenrechte begründet wurde, hebt in ihrem ersten Artikel hervor, dass alle Menschen frei und gleich an Rechten und Würde geboren sind. Der englische Originaltext sollte ursprünglich „All men are born equal in rights and dignity“ heißen. Aus der Befürchtung, dass diese Formulierung zu einer Negierung der Menschenrechte von Frauen missbraucht werden könnte, setzte sich die indische Delegierte Hansa Mehta hartnäckig und letztendlich erfolgreich dafür ein, dass sich die Garantie unzweideutig auf alle Menschen bezieht: „All human beings“ heißt es deswegen im Original. Auch d</w:t>
      </w:r>
      <w:r w:rsidR="004C1492" w:rsidRPr="00AA314D">
        <w:t xml:space="preserve">ie beiden menschenrechtlichen Weltpakte der Vereinten Nationen </w:t>
      </w:r>
      <w:r w:rsidR="004C1492" w:rsidRPr="00AA314D">
        <w:noBreakHyphen/>
        <w:t xml:space="preserve"> der Internationale Pakt über bürgerliche und politische Rechte und der Internationale Pakt über wirtschaftliche, soziale und kulturelle Rechte, die zeitgleich 1976 in Kraft </w:t>
      </w:r>
      <w:r w:rsidR="003A11E7" w:rsidRPr="00AA314D">
        <w:t>traten</w:t>
      </w:r>
      <w:r w:rsidR="004C1492" w:rsidRPr="00AA314D">
        <w:t xml:space="preserve"> </w:t>
      </w:r>
      <w:r w:rsidRPr="00AA314D">
        <w:noBreakHyphen/>
      </w:r>
      <w:r w:rsidR="003A11E7" w:rsidRPr="00AA314D">
        <w:t>,</w:t>
      </w:r>
      <w:r w:rsidRPr="00AA314D">
        <w:t xml:space="preserve"> </w:t>
      </w:r>
      <w:r w:rsidR="004C1492" w:rsidRPr="00AA314D">
        <w:t>garantieren die in ihnen niedergelegten Menschenrechte für Männer und Frauen gleichermaßen.</w:t>
      </w:r>
    </w:p>
    <w:p w:rsidR="006A5E69" w:rsidRPr="00AA314D" w:rsidRDefault="004C1492" w:rsidP="001F48EA">
      <w:r w:rsidRPr="00AA314D">
        <w:t xml:space="preserve">Dennoch </w:t>
      </w:r>
      <w:r w:rsidR="004E2570" w:rsidRPr="00AA314D">
        <w:t xml:space="preserve">waren und </w:t>
      </w:r>
      <w:r w:rsidR="006A5E69" w:rsidRPr="00AA314D">
        <w:t xml:space="preserve">sind viele Frauen überall in der Welt vom vollen Genuss ihrer Menschenrechte ausgeschlossen. Die Hindernisse liegen in frauendiskriminierenden </w:t>
      </w:r>
      <w:r w:rsidR="001F0BFB" w:rsidRPr="00AA314D">
        <w:t>N</w:t>
      </w:r>
      <w:r w:rsidR="006A5E69" w:rsidRPr="00AA314D">
        <w:t xml:space="preserve">ormen, </w:t>
      </w:r>
      <w:r w:rsidRPr="00AA314D">
        <w:t>Praktiken und Strukturen</w:t>
      </w:r>
      <w:r w:rsidR="00842490" w:rsidRPr="00AA314D">
        <w:t xml:space="preserve"> </w:t>
      </w:r>
      <w:r w:rsidR="001F0BFB" w:rsidRPr="00AA314D">
        <w:t>im privaten, gesellschaftlichen und staatlichen Leben. Gerade weil die Diskriminierung von Frauen auf tief in eine</w:t>
      </w:r>
      <w:r w:rsidR="00842490" w:rsidRPr="00AA314D">
        <w:t>r</w:t>
      </w:r>
      <w:r w:rsidR="001F0BFB" w:rsidRPr="00AA314D">
        <w:t xml:space="preserve"> Gesellschaft </w:t>
      </w:r>
      <w:r w:rsidR="00842490" w:rsidRPr="00AA314D">
        <w:t xml:space="preserve">verwurzelten </w:t>
      </w:r>
      <w:r w:rsidR="004E2570" w:rsidRPr="00AA314D">
        <w:t>Rollenb</w:t>
      </w:r>
      <w:r w:rsidR="00842490" w:rsidRPr="00AA314D">
        <w:t>ilder</w:t>
      </w:r>
      <w:r w:rsidR="003F2945" w:rsidRPr="00AA314D">
        <w:t>n</w:t>
      </w:r>
      <w:r w:rsidR="004E2570" w:rsidRPr="00AA314D">
        <w:t xml:space="preserve"> und Vorstellungen vom „richtigen“ Verhalten </w:t>
      </w:r>
      <w:r w:rsidR="002F087C" w:rsidRPr="00AA314D">
        <w:t xml:space="preserve">einer Frau </w:t>
      </w:r>
      <w:r w:rsidR="00842490" w:rsidRPr="00AA314D">
        <w:t>beruht, ist es so schwierig, si</w:t>
      </w:r>
      <w:r w:rsidR="003F2945" w:rsidRPr="00AA314D">
        <w:t>e zu erkennen und zu beseitigen</w:t>
      </w:r>
      <w:r w:rsidR="00842490" w:rsidRPr="00AA314D">
        <w:t>.</w:t>
      </w:r>
      <w:r w:rsidR="008C5150" w:rsidRPr="00AA314D">
        <w:t xml:space="preserve"> S</w:t>
      </w:r>
      <w:r w:rsidR="004E2570" w:rsidRPr="00AA314D">
        <w:t xml:space="preserve">ie </w:t>
      </w:r>
      <w:r w:rsidR="003F2945" w:rsidRPr="00AA314D">
        <w:t xml:space="preserve">speisen sich oft aus </w:t>
      </w:r>
      <w:r w:rsidR="004E2570" w:rsidRPr="00AA314D">
        <w:t>Traditionen, kulturell</w:t>
      </w:r>
      <w:r w:rsidR="003F2945" w:rsidRPr="00AA314D">
        <w:t xml:space="preserve"> oder religiös begründeten </w:t>
      </w:r>
      <w:r w:rsidR="00E43417">
        <w:t>Aufgabenzuschreibungen</w:t>
      </w:r>
      <w:r w:rsidR="003F2945" w:rsidRPr="00AA314D">
        <w:t xml:space="preserve"> und </w:t>
      </w:r>
      <w:r w:rsidR="008C5150" w:rsidRPr="00AA314D">
        <w:t xml:space="preserve">bilden </w:t>
      </w:r>
      <w:r w:rsidR="004E2570" w:rsidRPr="00AA314D">
        <w:t xml:space="preserve">daher auch heute noch </w:t>
      </w:r>
      <w:r w:rsidR="003F2945" w:rsidRPr="00AA314D">
        <w:t>den Hintergrund für</w:t>
      </w:r>
      <w:r w:rsidR="008C5150" w:rsidRPr="00AA314D">
        <w:t xml:space="preserve"> Rechtsetz</w:t>
      </w:r>
      <w:r w:rsidR="003F2945" w:rsidRPr="00AA314D">
        <w:t>ung</w:t>
      </w:r>
      <w:r w:rsidR="008C5150" w:rsidRPr="00AA314D">
        <w:t xml:space="preserve"> und Politikgestalt</w:t>
      </w:r>
      <w:r w:rsidR="003F2945" w:rsidRPr="00AA314D">
        <w:t>ung</w:t>
      </w:r>
      <w:r w:rsidR="000B30E8" w:rsidRPr="00AA314D">
        <w:t xml:space="preserve"> überall in der Welt</w:t>
      </w:r>
      <w:r w:rsidR="008C5150" w:rsidRPr="00AA314D">
        <w:t>.</w:t>
      </w:r>
    </w:p>
    <w:p w:rsidR="00E43417" w:rsidRDefault="00DE59B2" w:rsidP="001F48EA">
      <w:r w:rsidRPr="00AA314D">
        <w:t xml:space="preserve">Die Erfahrung von Diskriminierung in </w:t>
      </w:r>
      <w:r w:rsidR="00455A6F" w:rsidRPr="00AA314D">
        <w:t>den unterschiedlichen</w:t>
      </w:r>
      <w:r w:rsidRPr="00AA314D">
        <w:t xml:space="preserve"> Lebensbereichen </w:t>
      </w:r>
      <w:r w:rsidR="00455A6F" w:rsidRPr="00AA314D">
        <w:t>machen Frauen weltweit</w:t>
      </w:r>
      <w:r w:rsidR="00E43417">
        <w:t xml:space="preserve">. </w:t>
      </w:r>
      <w:r w:rsidR="00870A2F">
        <w:t>Es sind Erfahrungen von direkter Diskriminierung, d.h. von ausdrücklichem Anknüpfen an das Geschlecht zur Begründung einer ungleichen Behandlung</w:t>
      </w:r>
      <w:r w:rsidR="00A931A8">
        <w:t>. E</w:t>
      </w:r>
      <w:r w:rsidR="00870A2F">
        <w:t xml:space="preserve">s sind auch Erfahrungen indirekter Diskriminierung, beispielsweise die Geringschätzung von Arbeit, die typischerweise von Frauen geleistet wird, und Erfahrungen struktureller Benachteiligungen, etwa der Ausschluss von Frauen aus Führungszirkel und </w:t>
      </w:r>
      <w:r w:rsidR="00A931A8">
        <w:t>Entscheidungs</w:t>
      </w:r>
      <w:r w:rsidR="00870A2F">
        <w:t>positionen in Politik, Wirtschaft und Gesellschaft.</w:t>
      </w:r>
      <w:r w:rsidR="00547151">
        <w:t xml:space="preserve"> </w:t>
      </w:r>
      <w:r w:rsidR="00A931A8">
        <w:t>Ebenfalls zu de</w:t>
      </w:r>
      <w:r w:rsidR="007A2C9D">
        <w:t xml:space="preserve">r erlebten </w:t>
      </w:r>
      <w:r w:rsidR="00A931A8">
        <w:t xml:space="preserve">Diskriminierung gehört </w:t>
      </w:r>
      <w:r w:rsidR="007A2C9D">
        <w:t xml:space="preserve">die eigene Gewalterfahrung von oder das Wissen um verbreitete Gewalt gegen Frauen im privaten oder gesellschaftlichen Bereich oder in bewaffneten Konflikten. All diese Formen von </w:t>
      </w:r>
      <w:r w:rsidR="007A2C9D">
        <w:lastRenderedPageBreak/>
        <w:t xml:space="preserve">Diskriminierung wurden von den Staaten und den Kontrollgremien der menschenrechtlichen Weltpakte der </w:t>
      </w:r>
      <w:r w:rsidR="0069322F">
        <w:t xml:space="preserve">UNO </w:t>
      </w:r>
      <w:r w:rsidR="007A2C9D">
        <w:t xml:space="preserve">nicht hinreichend als Menschenrechtsverletzungen erkannt. So blieb der internationale Menschenrechtschutz für Frauen </w:t>
      </w:r>
      <w:r w:rsidR="0069322F">
        <w:t xml:space="preserve">lange </w:t>
      </w:r>
      <w:r w:rsidR="007A2C9D">
        <w:t>ein zahnloser Tiger.</w:t>
      </w:r>
    </w:p>
    <w:p w:rsidR="00DE59B2" w:rsidRPr="00AA314D" w:rsidRDefault="00A41310" w:rsidP="001F48EA">
      <w:r>
        <w:t xml:space="preserve">Die Erfahrung von </w:t>
      </w:r>
      <w:r w:rsidR="00E43417">
        <w:t>D</w:t>
      </w:r>
      <w:r>
        <w:t xml:space="preserve">iskriminierung oder die Einsicht in </w:t>
      </w:r>
      <w:r w:rsidR="000D2289">
        <w:t xml:space="preserve">ihr Bestehen und ihre Ursachen </w:t>
      </w:r>
      <w:r w:rsidR="00455A6F" w:rsidRPr="00AA314D">
        <w:t xml:space="preserve">sind </w:t>
      </w:r>
      <w:r w:rsidR="00870A2F">
        <w:t xml:space="preserve">auch </w:t>
      </w:r>
      <w:r w:rsidR="00455A6F" w:rsidRPr="00AA314D">
        <w:t xml:space="preserve">oft ein Grund für </w:t>
      </w:r>
      <w:r w:rsidR="002854BC">
        <w:t>Frauen, eine</w:t>
      </w:r>
      <w:r w:rsidR="00455A6F" w:rsidRPr="00AA314D">
        <w:t xml:space="preserve"> Frauenorganisation </w:t>
      </w:r>
      <w:r w:rsidR="002854BC">
        <w:t xml:space="preserve">zu gründen </w:t>
      </w:r>
      <w:r w:rsidR="00455A6F" w:rsidRPr="00AA314D">
        <w:t xml:space="preserve">oder </w:t>
      </w:r>
      <w:r w:rsidR="002854BC">
        <w:t>ihr beizutreten.</w:t>
      </w:r>
      <w:r w:rsidR="00455A6F" w:rsidRPr="00AA314D">
        <w:t xml:space="preserve"> Frauenorganisationen in aller Welt verbindet </w:t>
      </w:r>
      <w:r w:rsidR="000D2289">
        <w:t xml:space="preserve">deshalb </w:t>
      </w:r>
      <w:r w:rsidR="00455A6F" w:rsidRPr="00AA314D">
        <w:t>d</w:t>
      </w:r>
      <w:r w:rsidR="00DE59B2" w:rsidRPr="00AA314D">
        <w:t>er Wille, an der Gestaltung von Politik</w:t>
      </w:r>
      <w:r w:rsidR="00455A6F" w:rsidRPr="00AA314D">
        <w:t xml:space="preserve"> und</w:t>
      </w:r>
      <w:r w:rsidR="00DE59B2" w:rsidRPr="00AA314D">
        <w:t xml:space="preserve"> Recht</w:t>
      </w:r>
      <w:r w:rsidR="00455A6F" w:rsidRPr="00AA314D">
        <w:t xml:space="preserve"> sowie</w:t>
      </w:r>
      <w:r w:rsidR="00DE59B2" w:rsidRPr="00AA314D">
        <w:t xml:space="preserve"> wirtschaftlicher und sozialer Entwicklung </w:t>
      </w:r>
      <w:r w:rsidR="00E26F42" w:rsidRPr="00AA314D">
        <w:t xml:space="preserve">des eigenen sozialen Nahfeldes </w:t>
      </w:r>
      <w:r w:rsidR="00E26F42" w:rsidRPr="00AA314D">
        <w:noBreakHyphen/>
        <w:t xml:space="preserve"> Stadt, Dorf, Gemeinde </w:t>
      </w:r>
      <w:r w:rsidR="00E26F42" w:rsidRPr="00AA314D">
        <w:noBreakHyphen/>
        <w:t xml:space="preserve">, </w:t>
      </w:r>
      <w:r w:rsidR="00DE59B2" w:rsidRPr="00AA314D">
        <w:t>des eigenen Landes</w:t>
      </w:r>
      <w:r w:rsidR="00455A6F" w:rsidRPr="00AA314D">
        <w:t xml:space="preserve"> </w:t>
      </w:r>
      <w:r w:rsidR="00E26F42" w:rsidRPr="00AA314D">
        <w:t xml:space="preserve">oder auf internationaler Ebene </w:t>
      </w:r>
      <w:r w:rsidR="00E43417">
        <w:t xml:space="preserve">gleichberechtigt </w:t>
      </w:r>
      <w:r w:rsidR="00DE59B2" w:rsidRPr="00AA314D">
        <w:t>beteiligt zu sein</w:t>
      </w:r>
      <w:r w:rsidR="00870A2F">
        <w:t>.</w:t>
      </w:r>
      <w:r w:rsidR="00DE59B2" w:rsidRPr="00AA314D">
        <w:t xml:space="preserve"> </w:t>
      </w:r>
      <w:r w:rsidR="00455A6F" w:rsidRPr="00AA314D">
        <w:t>Das war schon in den 1970er Jahren der Fall</w:t>
      </w:r>
      <w:r w:rsidR="00E26F42" w:rsidRPr="00AA314D">
        <w:t>.</w:t>
      </w:r>
      <w:r w:rsidR="00455A6F" w:rsidRPr="00AA314D">
        <w:t xml:space="preserve"> Als die </w:t>
      </w:r>
      <w:r w:rsidR="00275DAE" w:rsidRPr="00AA314D">
        <w:t>Vereinten Nationen</w:t>
      </w:r>
      <w:r w:rsidR="00455A6F" w:rsidRPr="00AA314D">
        <w:t xml:space="preserve"> im </w:t>
      </w:r>
      <w:r w:rsidR="00E26F42" w:rsidRPr="00AA314D">
        <w:t xml:space="preserve">„Internationalen </w:t>
      </w:r>
      <w:r w:rsidR="00455A6F" w:rsidRPr="00AA314D">
        <w:t>Jahr der Frau</w:t>
      </w:r>
      <w:r w:rsidR="00E26F42" w:rsidRPr="00AA314D">
        <w:t>“</w:t>
      </w:r>
      <w:r w:rsidR="00455A6F" w:rsidRPr="00AA314D">
        <w:t xml:space="preserve"> 1975 </w:t>
      </w:r>
      <w:r w:rsidR="00E26F42" w:rsidRPr="00AA314D">
        <w:t xml:space="preserve">die </w:t>
      </w:r>
      <w:r w:rsidR="00455A6F" w:rsidRPr="00AA314D">
        <w:t xml:space="preserve">Staaten der Welt zu einer Weltfrauenkonferenz nach Mexiko-Stadt einluden, kamen daher auch tausende von Frauen </w:t>
      </w:r>
      <w:r w:rsidR="00E26F42" w:rsidRPr="00AA314D">
        <w:t xml:space="preserve">und Frauenorganisationen </w:t>
      </w:r>
      <w:r w:rsidR="00455A6F" w:rsidRPr="00AA314D">
        <w:t>aus aller Welt. Trotz unterschiedlicher Zielsetzungen</w:t>
      </w:r>
      <w:r w:rsidR="002854BC">
        <w:t>, kultureller Hintergründe</w:t>
      </w:r>
      <w:r w:rsidR="00455A6F" w:rsidRPr="00AA314D">
        <w:t xml:space="preserve"> </w:t>
      </w:r>
      <w:r w:rsidR="002854BC">
        <w:t xml:space="preserve">und politischer Überzeugungen </w:t>
      </w:r>
      <w:r w:rsidR="00455A6F" w:rsidRPr="00AA314D">
        <w:t xml:space="preserve">waren sich die Frauen einig in dem Ziel, die Diskriminierung von Frauen zu beenden </w:t>
      </w:r>
      <w:r w:rsidR="00E26F42" w:rsidRPr="00AA314D">
        <w:noBreakHyphen/>
      </w:r>
      <w:r w:rsidR="00455A6F" w:rsidRPr="00AA314D">
        <w:t xml:space="preserve"> sei es aus westlich-feministischer Perspektive, au</w:t>
      </w:r>
      <w:r w:rsidR="002854BC">
        <w:t>s entwicklungspolitischer Sicht</w:t>
      </w:r>
      <w:r w:rsidR="00455A6F" w:rsidRPr="00AA314D">
        <w:t xml:space="preserve"> oder aus </w:t>
      </w:r>
      <w:r w:rsidR="002854BC">
        <w:t xml:space="preserve">religiös oder philosophisch begründeten </w:t>
      </w:r>
      <w:r w:rsidR="00455A6F" w:rsidRPr="00AA314D">
        <w:t xml:space="preserve">Gerechtigkeitserwägungen. </w:t>
      </w:r>
      <w:r w:rsidR="00E26F42" w:rsidRPr="00AA314D">
        <w:t xml:space="preserve">Sie setzten sich nachdrücklich </w:t>
      </w:r>
      <w:r w:rsidR="00275DAE" w:rsidRPr="00AA314D">
        <w:t xml:space="preserve">während </w:t>
      </w:r>
      <w:r w:rsidR="00E26F42" w:rsidRPr="00AA314D">
        <w:t xml:space="preserve">der Konferenz und danach für die schnelle Ausarbeitung eines Menschenrechtsübereinkommens für Frauen ein. </w:t>
      </w:r>
      <w:r w:rsidR="00275DAE" w:rsidRPr="00AA314D">
        <w:t xml:space="preserve">Und dies erfolgreich: </w:t>
      </w:r>
      <w:r w:rsidR="00E26F42" w:rsidRPr="00AA314D">
        <w:t xml:space="preserve">In geradezu rekordverdächtiger Zeit wurde bis 1979 dieser Vertrag ausgearbeitet. </w:t>
      </w:r>
      <w:r w:rsidR="00275DAE" w:rsidRPr="00AA314D">
        <w:t>Die von Frauen erkämpfte Beteiligung hat ü</w:t>
      </w:r>
      <w:r w:rsidR="00E26F42" w:rsidRPr="00AA314D">
        <w:t>ber CEDAW hinaus zu einem grundlegenden Wandel des Völkerrechts</w:t>
      </w:r>
      <w:r w:rsidR="00275DAE" w:rsidRPr="00AA314D">
        <w:t xml:space="preserve">, zu seiner Demokratisierung, </w:t>
      </w:r>
      <w:r w:rsidR="00E26F42" w:rsidRPr="00AA314D">
        <w:t xml:space="preserve">beigetragen: </w:t>
      </w:r>
      <w:r w:rsidR="00275DAE" w:rsidRPr="00AA314D">
        <w:t xml:space="preserve">Heute ist die </w:t>
      </w:r>
      <w:r w:rsidR="00763872" w:rsidRPr="00AA314D">
        <w:t>Zivilgesellschaft aus</w:t>
      </w:r>
      <w:r w:rsidR="00E26F42" w:rsidRPr="00AA314D">
        <w:t xml:space="preserve"> Aushandlungsprozessen </w:t>
      </w:r>
      <w:r w:rsidR="00763872" w:rsidRPr="00AA314D">
        <w:t>für neue Menschenrechtsverträge oder aus den UN-Menschenrechtsgremien nicht mehr wegzudenken</w:t>
      </w:r>
      <w:r w:rsidR="00E26F42" w:rsidRPr="00AA314D">
        <w:t>.</w:t>
      </w:r>
    </w:p>
    <w:p w:rsidR="006A5E69" w:rsidRPr="00AA314D" w:rsidRDefault="00EC7BF7" w:rsidP="001F48EA">
      <w:r w:rsidRPr="00AA314D">
        <w:t>Der neue Menschenrechtsvertrag sollte kein</w:t>
      </w:r>
      <w:r w:rsidR="00374947">
        <w:t xml:space="preserve"> </w:t>
      </w:r>
      <w:r w:rsidRPr="00AA314D">
        <w:t xml:space="preserve">Sonderrecht für Frauen schaffen. Vielmehr sollte er die universellen, d.h. für alle Menschen gleichermaßen und überall geltenden Menschenrechte im Hinblick auf die </w:t>
      </w:r>
      <w:r w:rsidR="000B414A" w:rsidRPr="00AA314D">
        <w:t>Lebens</w:t>
      </w:r>
      <w:r w:rsidR="003A11E7" w:rsidRPr="00AA314D">
        <w:t xml:space="preserve">situationen von Frauen und ihre Unrechtserfahrungen ausbuchstabieren, um im </w:t>
      </w:r>
      <w:r w:rsidR="00275DAE" w:rsidRPr="00AA314D">
        <w:t>E</w:t>
      </w:r>
      <w:r w:rsidR="003A11E7" w:rsidRPr="00AA314D">
        <w:t>inzelnen die staatlichen Pflichten zu klären.</w:t>
      </w:r>
      <w:r w:rsidR="00275DAE" w:rsidRPr="00AA314D">
        <w:t xml:space="preserve"> </w:t>
      </w:r>
      <w:r w:rsidR="00A931A8">
        <w:t>Freilich</w:t>
      </w:r>
      <w:r w:rsidR="00275DAE" w:rsidRPr="00AA314D">
        <w:t xml:space="preserve"> sollte es </w:t>
      </w:r>
      <w:r w:rsidR="00763872" w:rsidRPr="00AA314D">
        <w:t xml:space="preserve">noch </w:t>
      </w:r>
      <w:r w:rsidR="00275DAE" w:rsidRPr="00AA314D">
        <w:t xml:space="preserve">bis zur Wiener Weltkonferenz für Menschenrechte im Jahr 1993 dauern, bis die Staaten der Welt ausdrücklich den Satz bekräftigten: </w:t>
      </w:r>
      <w:r w:rsidR="006A5E69" w:rsidRPr="00AA314D">
        <w:t>Frauenrechte sind Menschenrechte!</w:t>
      </w:r>
    </w:p>
    <w:p w:rsidR="00513393" w:rsidRPr="00AA314D" w:rsidRDefault="002F087C" w:rsidP="000A19C7">
      <w:pPr>
        <w:pStyle w:val="berschrift1"/>
      </w:pPr>
      <w:r w:rsidRPr="00AA314D">
        <w:t>Die Inhalte der menschenrechtlichen Garantien von CEDAW</w:t>
      </w:r>
    </w:p>
    <w:p w:rsidR="003D6719" w:rsidRDefault="002F087C" w:rsidP="001F48EA">
      <w:pPr>
        <w:rPr>
          <w:rFonts w:eastAsia="Times New Roman"/>
          <w:lang w:eastAsia="de-DE"/>
        </w:rPr>
      </w:pPr>
      <w:r w:rsidRPr="00AA314D">
        <w:t xml:space="preserve">CEDAW </w:t>
      </w:r>
      <w:r w:rsidR="000B1472">
        <w:t xml:space="preserve">erkennt die Lebenswirklichkeit von Frauen weltweit an, indem es </w:t>
      </w:r>
      <w:r w:rsidR="00CE22FD">
        <w:t xml:space="preserve">seine </w:t>
      </w:r>
      <w:r w:rsidR="00374947">
        <w:t xml:space="preserve">eigene </w:t>
      </w:r>
      <w:r w:rsidR="00CE22FD">
        <w:t xml:space="preserve">Notwendigkeit mit dem </w:t>
      </w:r>
      <w:r w:rsidR="000B1472" w:rsidRPr="00AA314D">
        <w:rPr>
          <w:rFonts w:eastAsia="Times New Roman"/>
          <w:lang w:eastAsia="de-DE"/>
        </w:rPr>
        <w:t xml:space="preserve">Fortbestand von Diskriminierung gegen </w:t>
      </w:r>
      <w:r w:rsidR="000B1472">
        <w:rPr>
          <w:rFonts w:eastAsia="Times New Roman"/>
          <w:lang w:eastAsia="de-DE"/>
        </w:rPr>
        <w:t>Frauen</w:t>
      </w:r>
      <w:r w:rsidR="000B1472" w:rsidRPr="00AA314D">
        <w:rPr>
          <w:rFonts w:eastAsia="Times New Roman"/>
          <w:lang w:eastAsia="de-DE"/>
        </w:rPr>
        <w:t xml:space="preserve"> in aller Welt </w:t>
      </w:r>
      <w:r w:rsidR="00CE22FD">
        <w:rPr>
          <w:rFonts w:eastAsia="Times New Roman"/>
          <w:lang w:eastAsia="de-DE"/>
        </w:rPr>
        <w:t xml:space="preserve">begründet </w:t>
      </w:r>
      <w:r w:rsidR="000B1472">
        <w:t xml:space="preserve">und </w:t>
      </w:r>
      <w:r w:rsidR="007715C2">
        <w:t xml:space="preserve">dementsprechend </w:t>
      </w:r>
      <w:r w:rsidR="000B1472">
        <w:t xml:space="preserve">nur die Diskriminierung von Frauen verbietet. Dieses </w:t>
      </w:r>
      <w:r w:rsidR="000B1472">
        <w:rPr>
          <w:rFonts w:eastAsia="Times New Roman"/>
          <w:lang w:eastAsia="de-DE"/>
        </w:rPr>
        <w:t>„</w:t>
      </w:r>
      <w:r w:rsidR="00AA314D" w:rsidRPr="00AA314D">
        <w:rPr>
          <w:rFonts w:eastAsia="Times New Roman"/>
          <w:lang w:eastAsia="de-DE"/>
        </w:rPr>
        <w:t>a</w:t>
      </w:r>
      <w:r w:rsidR="000B1472">
        <w:rPr>
          <w:rFonts w:eastAsia="Times New Roman"/>
          <w:lang w:eastAsia="de-DE"/>
        </w:rPr>
        <w:t>symmetrische</w:t>
      </w:r>
      <w:r w:rsidR="00AA314D" w:rsidRPr="00AA314D">
        <w:rPr>
          <w:rFonts w:eastAsia="Times New Roman"/>
          <w:lang w:eastAsia="de-DE"/>
        </w:rPr>
        <w:t xml:space="preserve"> Diskriminierungsverbot</w:t>
      </w:r>
      <w:r w:rsidR="000B1472">
        <w:rPr>
          <w:rFonts w:eastAsia="Times New Roman"/>
          <w:lang w:eastAsia="de-DE"/>
        </w:rPr>
        <w:t xml:space="preserve">“ leugnet nicht, dass bisweilen auch Männer aufgrund ihres Geschlechts </w:t>
      </w:r>
      <w:r w:rsidR="00CE22FD">
        <w:rPr>
          <w:rFonts w:eastAsia="Times New Roman"/>
          <w:lang w:eastAsia="de-DE"/>
        </w:rPr>
        <w:t xml:space="preserve">benachteiligt </w:t>
      </w:r>
      <w:r w:rsidR="000B1472">
        <w:rPr>
          <w:rFonts w:eastAsia="Times New Roman"/>
          <w:lang w:eastAsia="de-DE"/>
        </w:rPr>
        <w:t>werden</w:t>
      </w:r>
      <w:r w:rsidR="00AA314D" w:rsidRPr="00AA314D">
        <w:rPr>
          <w:rFonts w:eastAsia="Times New Roman"/>
          <w:lang w:eastAsia="de-DE"/>
        </w:rPr>
        <w:t xml:space="preserve">. </w:t>
      </w:r>
      <w:r w:rsidR="000B1472">
        <w:rPr>
          <w:rFonts w:eastAsia="Times New Roman"/>
          <w:lang w:eastAsia="de-DE"/>
        </w:rPr>
        <w:t xml:space="preserve">Aber es </w:t>
      </w:r>
      <w:r w:rsidR="00CE22FD">
        <w:rPr>
          <w:rFonts w:eastAsia="Times New Roman"/>
          <w:lang w:eastAsia="de-DE"/>
        </w:rPr>
        <w:t>unterstreicht</w:t>
      </w:r>
      <w:r w:rsidR="007715C2">
        <w:rPr>
          <w:rFonts w:eastAsia="Times New Roman"/>
          <w:lang w:eastAsia="de-DE"/>
        </w:rPr>
        <w:t xml:space="preserve">, dass Diskriminierung von Frauen </w:t>
      </w:r>
      <w:r w:rsidR="00CE22FD">
        <w:rPr>
          <w:rFonts w:eastAsia="Times New Roman"/>
          <w:lang w:eastAsia="de-DE"/>
        </w:rPr>
        <w:t xml:space="preserve">überall </w:t>
      </w:r>
      <w:r w:rsidR="003D6719">
        <w:rPr>
          <w:rFonts w:eastAsia="Times New Roman"/>
          <w:lang w:eastAsia="de-DE"/>
        </w:rPr>
        <w:t xml:space="preserve">in der Welt </w:t>
      </w:r>
      <w:r w:rsidR="00CE22FD">
        <w:rPr>
          <w:rFonts w:eastAsia="Times New Roman"/>
          <w:lang w:eastAsia="de-DE"/>
        </w:rPr>
        <w:t xml:space="preserve">kein punktuelles Problem ist, sondern </w:t>
      </w:r>
      <w:r w:rsidR="003D6719">
        <w:rPr>
          <w:rFonts w:eastAsia="Times New Roman"/>
          <w:lang w:eastAsia="de-DE"/>
        </w:rPr>
        <w:t xml:space="preserve">sich in Quantität und Qualität </w:t>
      </w:r>
      <w:r w:rsidR="008E530B">
        <w:rPr>
          <w:rFonts w:eastAsia="Times New Roman"/>
          <w:lang w:eastAsia="de-DE"/>
        </w:rPr>
        <w:t xml:space="preserve">von der Diskriminierung von Männern </w:t>
      </w:r>
      <w:r w:rsidR="003D6719">
        <w:rPr>
          <w:rFonts w:eastAsia="Times New Roman"/>
          <w:lang w:eastAsia="de-DE"/>
        </w:rPr>
        <w:t xml:space="preserve">unterscheidet: Diskriminierung von Frauen ist Ausdruck einer Unterordnung der Frauen unter die Männer und Ausdruck der Zuweisung bestimmter Rollen und Funktionen an Frauen. Damit wird Frauen verweigert, frei über ihr Leben zu bestimmen, also ihrem Leben selbst Sinn und Ziel zu geben (einschließlich der Annahme oder Ablehnung </w:t>
      </w:r>
      <w:r w:rsidR="003570B8">
        <w:rPr>
          <w:rFonts w:eastAsia="Times New Roman"/>
          <w:lang w:eastAsia="de-DE"/>
        </w:rPr>
        <w:t>tradierter</w:t>
      </w:r>
      <w:r w:rsidR="003D6719">
        <w:rPr>
          <w:rFonts w:eastAsia="Times New Roman"/>
          <w:lang w:eastAsia="de-DE"/>
        </w:rPr>
        <w:t>, kulturell oder religiös begründeter Aufgabenzuweisung</w:t>
      </w:r>
      <w:r w:rsidR="00BE1B92">
        <w:rPr>
          <w:rFonts w:eastAsia="Times New Roman"/>
          <w:lang w:eastAsia="de-DE"/>
        </w:rPr>
        <w:t>en</w:t>
      </w:r>
      <w:r w:rsidR="003D6719">
        <w:rPr>
          <w:rFonts w:eastAsia="Times New Roman"/>
          <w:lang w:eastAsia="de-DE"/>
        </w:rPr>
        <w:t>)</w:t>
      </w:r>
      <w:r w:rsidR="00AA314D" w:rsidRPr="00AA314D">
        <w:rPr>
          <w:rFonts w:eastAsia="Times New Roman"/>
          <w:lang w:eastAsia="de-DE"/>
        </w:rPr>
        <w:t xml:space="preserve">. </w:t>
      </w:r>
      <w:r w:rsidR="003D6719">
        <w:rPr>
          <w:rFonts w:eastAsia="Times New Roman"/>
          <w:lang w:eastAsia="de-DE"/>
        </w:rPr>
        <w:t>Diese Selbstbestimm</w:t>
      </w:r>
      <w:r w:rsidR="002854BC">
        <w:rPr>
          <w:rFonts w:eastAsia="Times New Roman"/>
          <w:lang w:eastAsia="de-DE"/>
        </w:rPr>
        <w:t xml:space="preserve">ung ist Kern der Menschenrechte. </w:t>
      </w:r>
      <w:r w:rsidR="00A55C31">
        <w:rPr>
          <w:rFonts w:eastAsia="Times New Roman"/>
          <w:lang w:eastAsia="de-DE"/>
        </w:rPr>
        <w:t xml:space="preserve">Sie weist zurück auf die Menschenwürde als den Grund der </w:t>
      </w:r>
      <w:r w:rsidR="002854BC">
        <w:rPr>
          <w:rFonts w:eastAsia="Times New Roman"/>
          <w:lang w:eastAsia="de-DE"/>
        </w:rPr>
        <w:t>Menschenrechte</w:t>
      </w:r>
      <w:r w:rsidR="00A55C31">
        <w:rPr>
          <w:rFonts w:eastAsia="Times New Roman"/>
          <w:lang w:eastAsia="de-DE"/>
        </w:rPr>
        <w:t>.</w:t>
      </w:r>
    </w:p>
    <w:p w:rsidR="00BF7A35" w:rsidRPr="00BF7A35" w:rsidRDefault="00BF7A35" w:rsidP="000A19C7">
      <w:pPr>
        <w:pStyle w:val="berschrift2"/>
        <w:rPr>
          <w:rFonts w:eastAsia="Times New Roman"/>
          <w:lang w:eastAsia="de-DE"/>
        </w:rPr>
      </w:pPr>
      <w:r>
        <w:rPr>
          <w:rFonts w:eastAsia="Times New Roman"/>
          <w:lang w:eastAsia="de-DE"/>
        </w:rPr>
        <w:lastRenderedPageBreak/>
        <w:t xml:space="preserve">Verbotene </w:t>
      </w:r>
      <w:r w:rsidRPr="00BF7A35">
        <w:rPr>
          <w:rFonts w:eastAsia="Times New Roman"/>
          <w:lang w:eastAsia="de-DE"/>
        </w:rPr>
        <w:t>Diskriminierung</w:t>
      </w:r>
    </w:p>
    <w:p w:rsidR="00AA314D" w:rsidRPr="00AA314D" w:rsidRDefault="00AA314D" w:rsidP="001F48EA">
      <w:pPr>
        <w:rPr>
          <w:lang w:eastAsia="de-DE"/>
        </w:rPr>
      </w:pPr>
      <w:r w:rsidRPr="00AA314D">
        <w:rPr>
          <w:lang w:eastAsia="de-DE"/>
        </w:rPr>
        <w:t>Dementsprechend legt CEDAW in seinem Art</w:t>
      </w:r>
      <w:r w:rsidR="00BE1B92">
        <w:rPr>
          <w:lang w:eastAsia="de-DE"/>
        </w:rPr>
        <w:t>ikel</w:t>
      </w:r>
      <w:r w:rsidRPr="00AA314D">
        <w:rPr>
          <w:lang w:eastAsia="de-DE"/>
        </w:rPr>
        <w:t> 1 ein breites Verständnis von Diskriminierung zugrunde. Erfasst ist „jede mit dem Geschlecht begründete Unterscheidung, Ausschließung oder Beschränkung, die zur Folge oder zum Ziel hat, die auf die Gleichberechtigung gegründete Ausübung der Menschenrechte durch Frauen zu beeinträchtigen oder zu vereiteln.“ Diese Definition ermöglicht es, auch indirekte und strukturelle Diskriminierung zu erfassen, insbesondere weil sie über die „Unterscheidung“ als diskriminierungsbegründenden Akt hinausgeht und auch diskriminierende Folgen einbezieht.</w:t>
      </w:r>
      <w:r w:rsidR="00A55C31">
        <w:rPr>
          <w:lang w:eastAsia="de-DE"/>
        </w:rPr>
        <w:t xml:space="preserve"> Indirekte Diskriminierungen sind Unterscheidungen, die nicht an das Geschlecht anknüpfen, sondern an ein scheinbar neutrales Merkmal, das aber ganz überwiegend bei Frauen vorliegt, beispielsweise Teilzeitarbeit. Strukturelle Diskriminierungen bezeichnen Benachteiligungen infolge des Zusammenspiels von Strukturen, Verfahren, Verhaltensweisen und </w:t>
      </w:r>
      <w:r w:rsidR="00EE706E">
        <w:rPr>
          <w:lang w:eastAsia="de-DE"/>
        </w:rPr>
        <w:t xml:space="preserve">Stereotypen, also etwa Auswahlmechanismen in männlich geprägten Institutionen und Gremien, bei denen </w:t>
      </w:r>
      <w:r w:rsidR="0062297A">
        <w:rPr>
          <w:lang w:eastAsia="de-DE"/>
        </w:rPr>
        <w:t>ein typischerweise Männern zugeschriebenes Lebensmodell als Maßstab dient. Ein Beispiel ist die Auswahl von Führungskräften durch männlich dominierte Gremien, die das Bild des stets verfügbaren Führungskraft zugrunde legt, deren Familienpflichten die Ehefrau übernimmt, und deren Durchsetzungskraft an einem aggressiven oder dominanten Auftreten gemessen wird.</w:t>
      </w:r>
    </w:p>
    <w:p w:rsidR="00835911" w:rsidRDefault="00BE1B92" w:rsidP="001F48EA">
      <w:pPr>
        <w:rPr>
          <w:lang w:eastAsia="de-DE"/>
        </w:rPr>
      </w:pPr>
      <w:r w:rsidRPr="00EB76F9">
        <w:rPr>
          <w:lang w:eastAsia="de-DE"/>
        </w:rPr>
        <w:t xml:space="preserve">Entsprechend seiner Zielsetzung </w:t>
      </w:r>
      <w:r w:rsidR="00835911" w:rsidRPr="00EB76F9">
        <w:rPr>
          <w:lang w:eastAsia="de-DE"/>
        </w:rPr>
        <w:t xml:space="preserve">blickt </w:t>
      </w:r>
      <w:r w:rsidR="00AA314D" w:rsidRPr="00EB76F9">
        <w:rPr>
          <w:lang w:eastAsia="de-DE"/>
        </w:rPr>
        <w:t xml:space="preserve">CEDAW </w:t>
      </w:r>
      <w:r w:rsidR="00835911" w:rsidRPr="00EB76F9">
        <w:rPr>
          <w:lang w:eastAsia="de-DE"/>
        </w:rPr>
        <w:t xml:space="preserve">auf </w:t>
      </w:r>
      <w:r w:rsidR="00AA314D" w:rsidRPr="00EB76F9">
        <w:rPr>
          <w:lang w:eastAsia="de-DE"/>
        </w:rPr>
        <w:t>die Lebensbereiche</w:t>
      </w:r>
      <w:r w:rsidR="00835911" w:rsidRPr="00EB76F9">
        <w:rPr>
          <w:lang w:eastAsia="de-DE"/>
        </w:rPr>
        <w:t>, in denen Frauen</w:t>
      </w:r>
      <w:r w:rsidR="00AA314D" w:rsidRPr="00EB76F9">
        <w:rPr>
          <w:lang w:eastAsia="de-DE"/>
        </w:rPr>
        <w:t xml:space="preserve"> </w:t>
      </w:r>
      <w:r w:rsidR="00EB76F9">
        <w:rPr>
          <w:lang w:eastAsia="de-DE"/>
        </w:rPr>
        <w:t xml:space="preserve">erfahrungsgemäß </w:t>
      </w:r>
      <w:r w:rsidR="00835911" w:rsidRPr="00EB76F9">
        <w:rPr>
          <w:lang w:eastAsia="de-DE"/>
        </w:rPr>
        <w:t>Diskriminierung und Ausschluss erfahren</w:t>
      </w:r>
      <w:r w:rsidR="00C21EB6">
        <w:rPr>
          <w:lang w:eastAsia="de-DE"/>
        </w:rPr>
        <w:t xml:space="preserve">: </w:t>
      </w:r>
      <w:r w:rsidR="00C21EB6" w:rsidRPr="00C21EB6">
        <w:rPr>
          <w:lang w:eastAsia="de-DE"/>
        </w:rPr>
        <w:t xml:space="preserve">Politik, öffentliches Leben, Arbeits- und Wirtschaftsleben, Bildung, Gesundheitswesen, Staatsangehörigkeitsrecht, Zivilrecht sowie Ehe- und Familienrecht. </w:t>
      </w:r>
      <w:r w:rsidR="00C21EB6">
        <w:rPr>
          <w:lang w:eastAsia="de-DE"/>
        </w:rPr>
        <w:t xml:space="preserve">Für alle diese Bereiche </w:t>
      </w:r>
      <w:r w:rsidR="00EB76F9">
        <w:rPr>
          <w:lang w:eastAsia="de-DE"/>
        </w:rPr>
        <w:t xml:space="preserve">benennt </w:t>
      </w:r>
      <w:r w:rsidR="00C21EB6">
        <w:rPr>
          <w:lang w:eastAsia="de-DE"/>
        </w:rPr>
        <w:t xml:space="preserve">CEDAW </w:t>
      </w:r>
      <w:r w:rsidR="00EB76F9">
        <w:rPr>
          <w:lang w:eastAsia="de-DE"/>
        </w:rPr>
        <w:t xml:space="preserve">die dort typischen Ungleichbehandlungen und die </w:t>
      </w:r>
      <w:r w:rsidR="00C21EB6">
        <w:rPr>
          <w:lang w:eastAsia="de-DE"/>
        </w:rPr>
        <w:t>deshalb bestehenden menschenrechtlichen P</w:t>
      </w:r>
      <w:r w:rsidR="00EB76F9">
        <w:rPr>
          <w:lang w:eastAsia="de-DE"/>
        </w:rPr>
        <w:t>flichten</w:t>
      </w:r>
      <w:r w:rsidR="00C21EB6">
        <w:rPr>
          <w:lang w:eastAsia="de-DE"/>
        </w:rPr>
        <w:t xml:space="preserve"> der Staaten.</w:t>
      </w:r>
      <w:r w:rsidR="00AA314D" w:rsidRPr="00AA314D">
        <w:rPr>
          <w:lang w:eastAsia="de-DE"/>
        </w:rPr>
        <w:t xml:space="preserve"> </w:t>
      </w:r>
      <w:r w:rsidR="00C21EB6">
        <w:rPr>
          <w:lang w:eastAsia="de-DE"/>
        </w:rPr>
        <w:t xml:space="preserve">Auf die Erfüllung der </w:t>
      </w:r>
      <w:r w:rsidR="00AA314D" w:rsidRPr="00AA314D">
        <w:rPr>
          <w:lang w:eastAsia="de-DE"/>
        </w:rPr>
        <w:t>staatliche</w:t>
      </w:r>
      <w:r w:rsidR="00C21EB6">
        <w:rPr>
          <w:lang w:eastAsia="de-DE"/>
        </w:rPr>
        <w:t>n</w:t>
      </w:r>
      <w:r w:rsidR="00AA314D" w:rsidRPr="00AA314D">
        <w:rPr>
          <w:lang w:eastAsia="de-DE"/>
        </w:rPr>
        <w:t xml:space="preserve"> </w:t>
      </w:r>
      <w:r w:rsidR="00C21EB6">
        <w:rPr>
          <w:lang w:eastAsia="de-DE"/>
        </w:rPr>
        <w:t>P</w:t>
      </w:r>
      <w:r w:rsidR="00AA314D" w:rsidRPr="00AA314D">
        <w:rPr>
          <w:lang w:eastAsia="de-DE"/>
        </w:rPr>
        <w:t xml:space="preserve">flichten </w:t>
      </w:r>
      <w:r w:rsidR="00C21EB6">
        <w:rPr>
          <w:lang w:eastAsia="de-DE"/>
        </w:rPr>
        <w:t>zur Beseitigung und Bekämpfung von Frauendiskriminierung hat jede betroffene Frau Anspruch.</w:t>
      </w:r>
      <w:r w:rsidR="00713CE9">
        <w:rPr>
          <w:lang w:eastAsia="de-DE"/>
        </w:rPr>
        <w:t xml:space="preserve"> Entsprechend den Verpflichtungsdimensionen aller Menschenrechte </w:t>
      </w:r>
      <w:r w:rsidR="00DE518F">
        <w:rPr>
          <w:lang w:eastAsia="de-DE"/>
        </w:rPr>
        <w:t>sind die Vertragss</w:t>
      </w:r>
      <w:r w:rsidR="00713CE9">
        <w:rPr>
          <w:lang w:eastAsia="de-DE"/>
        </w:rPr>
        <w:t>taaten</w:t>
      </w:r>
      <w:r w:rsidR="00DE518F">
        <w:rPr>
          <w:lang w:eastAsia="de-DE"/>
        </w:rPr>
        <w:t xml:space="preserve"> von CEDAW verpflichtet</w:t>
      </w:r>
      <w:r w:rsidR="00713CE9">
        <w:rPr>
          <w:lang w:eastAsia="de-DE"/>
        </w:rPr>
        <w:t>, Diskriminierungen zu unterlassen, Diskriminierungen durch Private zu verhindern und zu sanktionieren, sowie wirksamen Diskriminierungsschutz zu gewährleisten.</w:t>
      </w:r>
      <w:bookmarkStart w:id="0" w:name="_Ref375650657"/>
      <w:r w:rsidR="00835911" w:rsidRPr="00AA314D">
        <w:rPr>
          <w:vertAlign w:val="superscript"/>
          <w:lang w:eastAsia="de-DE"/>
        </w:rPr>
        <w:footnoteReference w:id="2"/>
      </w:r>
      <w:bookmarkEnd w:id="0"/>
    </w:p>
    <w:p w:rsidR="00BF7A35" w:rsidRPr="00BF7A35" w:rsidRDefault="00BF7A35" w:rsidP="000A19C7">
      <w:pPr>
        <w:pStyle w:val="berschrift2"/>
        <w:rPr>
          <w:rFonts w:eastAsia="Times New Roman"/>
          <w:lang w:eastAsia="de-DE"/>
        </w:rPr>
      </w:pPr>
      <w:r>
        <w:rPr>
          <w:rFonts w:eastAsia="Times New Roman"/>
          <w:lang w:eastAsia="de-DE"/>
        </w:rPr>
        <w:t>Von CEDAW erfasste Lebensbereiche</w:t>
      </w:r>
    </w:p>
    <w:p w:rsidR="00BF7A35" w:rsidRPr="00BF7A35" w:rsidRDefault="003570B8" w:rsidP="001F48EA">
      <w:pPr>
        <w:rPr>
          <w:lang w:eastAsia="de-DE"/>
        </w:rPr>
      </w:pPr>
      <w:r w:rsidRPr="001F48EA">
        <w:t>Beispielhaft seien nur einige der Regelungen von CEDAW hervorgehoben: CEDAW</w:t>
      </w:r>
      <w:r w:rsidR="00A64234" w:rsidRPr="001F48EA">
        <w:t xml:space="preserve"> nennt</w:t>
      </w:r>
      <w:r w:rsidRPr="001F48EA">
        <w:t xml:space="preserve"> unter den relevanten Lebensbereichen</w:t>
      </w:r>
      <w:r w:rsidR="00B62F83" w:rsidRPr="001F48EA">
        <w:t>, in denen Frauen nicht diskriminiert werden dürfen,</w:t>
      </w:r>
      <w:r w:rsidRPr="001F48EA">
        <w:t xml:space="preserve"> als erstes das politische und öffentliche Leben </w:t>
      </w:r>
      <w:r w:rsidR="00B62F83" w:rsidRPr="001F48EA">
        <w:t>(Artikel 7)</w:t>
      </w:r>
      <w:r w:rsidR="00A64234" w:rsidRPr="001F48EA">
        <w:t>. Das</w:t>
      </w:r>
      <w:r w:rsidRPr="001F48EA">
        <w:t xml:space="preserve"> spiegelt die Erkenntnis wider, dass </w:t>
      </w:r>
      <w:r w:rsidR="00DC0958" w:rsidRPr="001F48EA">
        <w:t xml:space="preserve">Frauen </w:t>
      </w:r>
      <w:r w:rsidRPr="001F48EA">
        <w:t xml:space="preserve">ohne gleiche politische Beteiligung </w:t>
      </w:r>
      <w:r w:rsidR="00DC0958" w:rsidRPr="001F48EA">
        <w:t xml:space="preserve">Gleichheit allenfalls punktuell </w:t>
      </w:r>
      <w:r w:rsidR="00A64234" w:rsidRPr="001F48EA">
        <w:t>erreichen können</w:t>
      </w:r>
      <w:r w:rsidR="00DC0958" w:rsidRPr="001F48EA">
        <w:t xml:space="preserve">. </w:t>
      </w:r>
      <w:r w:rsidR="00B62F83" w:rsidRPr="001F48EA">
        <w:t xml:space="preserve">Artikel 7 </w:t>
      </w:r>
      <w:r w:rsidR="00DC0958" w:rsidRPr="001F48EA">
        <w:t xml:space="preserve">erfasst zu Recht nicht allein die staatlichen Entscheidungsgremien und –strukturen, sondern auch nichtstaatliche Organisationen und Vereinigungen, die sich mit dem politischen und öffentlichen Leben ihres Landes befassen. Das sind etwa Parteien, zivilgesellschaftliche Organisationen aber auf Religionsgemeinschaften, soweit sie sich in die politischen und gesellschaftlichen Debatten einbringen. Durch CEDAW gewinnen </w:t>
      </w:r>
      <w:r w:rsidR="00A64234" w:rsidRPr="001F48EA">
        <w:t xml:space="preserve">also </w:t>
      </w:r>
      <w:r w:rsidR="00DC0958" w:rsidRPr="001F48EA">
        <w:t xml:space="preserve">die Forderungen von Frauen auf Mitwirkung und Mitgestaltung </w:t>
      </w:r>
      <w:r w:rsidR="00A64234" w:rsidRPr="001F48EA">
        <w:t xml:space="preserve">in diesen Organisationen </w:t>
      </w:r>
      <w:r w:rsidR="003C47EE" w:rsidRPr="001F48EA">
        <w:t xml:space="preserve">ein </w:t>
      </w:r>
      <w:r w:rsidR="007C3CFC" w:rsidRPr="001F48EA">
        <w:t>menschen</w:t>
      </w:r>
      <w:r w:rsidR="003C47EE" w:rsidRPr="001F48EA">
        <w:t xml:space="preserve">rechtliches Fundament. Zwar schützt die Religionsfreiheit die Selbstorganisation von Religionsgemeinschaften. Und da die Menschenrechte unmittelbar allein den Staaten verpflichten, ergibt sich aus CEDAW kein </w:t>
      </w:r>
      <w:r w:rsidR="003F3EE9" w:rsidRPr="001F48EA">
        <w:t>Rechtsanspruch</w:t>
      </w:r>
      <w:r w:rsidR="003C47EE" w:rsidRPr="001F48EA">
        <w:t xml:space="preserve"> der weiblichen Mitglieder</w:t>
      </w:r>
      <w:r w:rsidR="003C47EE" w:rsidRPr="00BF7A35">
        <w:rPr>
          <w:lang w:eastAsia="de-DE"/>
        </w:rPr>
        <w:t xml:space="preserve"> einer </w:t>
      </w:r>
      <w:r w:rsidR="003C47EE" w:rsidRPr="00BF7A35">
        <w:rPr>
          <w:lang w:eastAsia="de-DE"/>
        </w:rPr>
        <w:lastRenderedPageBreak/>
        <w:t xml:space="preserve">Religionsgemeinschaft auf </w:t>
      </w:r>
      <w:r w:rsidR="003F3EE9" w:rsidRPr="00BF7A35">
        <w:rPr>
          <w:lang w:eastAsia="de-DE"/>
        </w:rPr>
        <w:t xml:space="preserve">die Bekleidung religiöser Ämter </w:t>
      </w:r>
      <w:r w:rsidR="003C47EE" w:rsidRPr="00BF7A35">
        <w:rPr>
          <w:lang w:eastAsia="de-DE"/>
        </w:rPr>
        <w:t xml:space="preserve">oder auf </w:t>
      </w:r>
      <w:r w:rsidR="003F3EE9" w:rsidRPr="00BF7A35">
        <w:rPr>
          <w:lang w:eastAsia="de-DE"/>
        </w:rPr>
        <w:t xml:space="preserve">die </w:t>
      </w:r>
      <w:r w:rsidR="007C3CFC" w:rsidRPr="00BF7A35">
        <w:rPr>
          <w:lang w:eastAsia="de-DE"/>
        </w:rPr>
        <w:t>Ausübung kultischer Handlungen</w:t>
      </w:r>
      <w:r w:rsidR="003C47EE" w:rsidRPr="00BF7A35">
        <w:rPr>
          <w:lang w:eastAsia="de-DE"/>
        </w:rPr>
        <w:t xml:space="preserve">. </w:t>
      </w:r>
      <w:r w:rsidR="007C3CFC" w:rsidRPr="00BF7A35">
        <w:rPr>
          <w:lang w:eastAsia="de-DE"/>
        </w:rPr>
        <w:t xml:space="preserve">Aber soweit Religionsgemeinschaften am politischen Diskurs teilnehmen, </w:t>
      </w:r>
      <w:r w:rsidR="003F3EE9" w:rsidRPr="00BF7A35">
        <w:rPr>
          <w:lang w:eastAsia="de-DE"/>
        </w:rPr>
        <w:t>dürfen sie Frauen aus der eigenen Glaubensgemeinschaft nicht daran hindern, ebenfalls ihre</w:t>
      </w:r>
      <w:r w:rsidR="00A056CE" w:rsidRPr="00BF7A35">
        <w:rPr>
          <w:lang w:eastAsia="de-DE"/>
        </w:rPr>
        <w:t xml:space="preserve"> Stimme zu erheben und sich </w:t>
      </w:r>
      <w:r w:rsidR="00502135" w:rsidRPr="00BF7A35">
        <w:rPr>
          <w:lang w:eastAsia="de-DE"/>
        </w:rPr>
        <w:t xml:space="preserve">dabei </w:t>
      </w:r>
      <w:r w:rsidR="00A056CE" w:rsidRPr="00BF7A35">
        <w:rPr>
          <w:lang w:eastAsia="de-DE"/>
        </w:rPr>
        <w:t>auf die Religion zu berufen.</w:t>
      </w:r>
      <w:r w:rsidR="003F3EE9" w:rsidRPr="00BF7A35">
        <w:rPr>
          <w:lang w:eastAsia="de-DE"/>
        </w:rPr>
        <w:t xml:space="preserve"> Das gilt auch, wenn diese </w:t>
      </w:r>
      <w:r w:rsidR="00A056CE" w:rsidRPr="00BF7A35">
        <w:rPr>
          <w:lang w:eastAsia="de-DE"/>
        </w:rPr>
        <w:t xml:space="preserve">Frauen </w:t>
      </w:r>
      <w:r w:rsidR="003F3EE9" w:rsidRPr="00BF7A35">
        <w:rPr>
          <w:lang w:eastAsia="de-DE"/>
        </w:rPr>
        <w:t>eine andere Auslegung der religiösen Texte zugrunde legen</w:t>
      </w:r>
      <w:r w:rsidR="00502135" w:rsidRPr="00BF7A35">
        <w:rPr>
          <w:lang w:eastAsia="de-DE"/>
        </w:rPr>
        <w:t xml:space="preserve"> als das religiöse Establishment</w:t>
      </w:r>
      <w:r w:rsidR="003F3EE9" w:rsidRPr="00BF7A35">
        <w:rPr>
          <w:lang w:eastAsia="de-DE"/>
        </w:rPr>
        <w:t xml:space="preserve">, weil sie damit ihre Religionsfreiheit ausüben. Der Staat ist sogar </w:t>
      </w:r>
      <w:r w:rsidR="00502135" w:rsidRPr="00BF7A35">
        <w:rPr>
          <w:lang w:eastAsia="de-DE"/>
        </w:rPr>
        <w:t>menschenrechtlich</w:t>
      </w:r>
      <w:r w:rsidR="003F3EE9" w:rsidRPr="00BF7A35">
        <w:rPr>
          <w:lang w:eastAsia="de-DE"/>
        </w:rPr>
        <w:t xml:space="preserve"> verpflichtet, </w:t>
      </w:r>
      <w:r w:rsidR="00502135" w:rsidRPr="00BF7A35">
        <w:rPr>
          <w:lang w:eastAsia="de-DE"/>
        </w:rPr>
        <w:t>dafür zu sorgen, dass sich Minderheiten innerhalb von Religionsgemeinschaften öffentlich artikulieren und so auch am innerreligiösen Diskurs beteiligen können.</w:t>
      </w:r>
    </w:p>
    <w:p w:rsidR="004A470F" w:rsidRDefault="004A470F" w:rsidP="001F48EA">
      <w:pPr>
        <w:rPr>
          <w:lang w:eastAsia="de-DE"/>
        </w:rPr>
      </w:pPr>
      <w:r>
        <w:rPr>
          <w:lang w:eastAsia="de-DE"/>
        </w:rPr>
        <w:t>CEDAW schützt Frauen vor</w:t>
      </w:r>
      <w:r w:rsidR="001D314D">
        <w:rPr>
          <w:lang w:eastAsia="de-DE"/>
        </w:rPr>
        <w:t xml:space="preserve"> </w:t>
      </w:r>
      <w:r w:rsidR="00B757C1">
        <w:rPr>
          <w:lang w:eastAsia="de-DE"/>
        </w:rPr>
        <w:t xml:space="preserve">Diskriminierung </w:t>
      </w:r>
      <w:r>
        <w:rPr>
          <w:lang w:eastAsia="de-DE"/>
        </w:rPr>
        <w:t xml:space="preserve">über ihren </w:t>
      </w:r>
      <w:r w:rsidR="001D314D">
        <w:rPr>
          <w:lang w:eastAsia="de-DE"/>
        </w:rPr>
        <w:t>gesamten Lebenszyklus</w:t>
      </w:r>
      <w:r>
        <w:rPr>
          <w:lang w:eastAsia="de-DE"/>
        </w:rPr>
        <w:t xml:space="preserve"> hinweg</w:t>
      </w:r>
      <w:r w:rsidR="001D314D">
        <w:rPr>
          <w:lang w:eastAsia="de-DE"/>
        </w:rPr>
        <w:t xml:space="preserve">: </w:t>
      </w:r>
      <w:r>
        <w:rPr>
          <w:lang w:eastAsia="de-DE"/>
        </w:rPr>
        <w:t>v</w:t>
      </w:r>
      <w:r w:rsidR="001D314D">
        <w:rPr>
          <w:lang w:eastAsia="de-DE"/>
        </w:rPr>
        <w:t xml:space="preserve">on der Geburt, inklusive des vorgeburtlichen Schutzes weiblicher Föten vor Abtreibung, über den Zugang zu Bildung bis hin in das </w:t>
      </w:r>
      <w:r w:rsidR="001A4B67" w:rsidRPr="001A4B67">
        <w:rPr>
          <w:lang w:eastAsia="de-DE"/>
        </w:rPr>
        <w:t>Arbeits- und Wirtschaftsleben</w:t>
      </w:r>
      <w:r w:rsidR="001D314D">
        <w:rPr>
          <w:lang w:eastAsia="de-DE"/>
        </w:rPr>
        <w:t xml:space="preserve">. </w:t>
      </w:r>
      <w:r w:rsidR="003B065E">
        <w:rPr>
          <w:lang w:eastAsia="de-DE"/>
        </w:rPr>
        <w:t xml:space="preserve">Im </w:t>
      </w:r>
      <w:r>
        <w:rPr>
          <w:lang w:eastAsia="de-DE"/>
        </w:rPr>
        <w:t xml:space="preserve">Gesundheitswesen </w:t>
      </w:r>
      <w:r w:rsidR="003B065E">
        <w:rPr>
          <w:lang w:eastAsia="de-DE"/>
        </w:rPr>
        <w:t>heißt das: Gesundheitsberatung, medizinische Aufklärung und der Zugang zu Medikamenten sind</w:t>
      </w:r>
      <w:r>
        <w:rPr>
          <w:lang w:eastAsia="de-DE"/>
        </w:rPr>
        <w:t xml:space="preserve"> an den Bedürfnissen </w:t>
      </w:r>
      <w:r w:rsidR="003B065E">
        <w:rPr>
          <w:lang w:eastAsia="de-DE"/>
        </w:rPr>
        <w:t xml:space="preserve">und der Lebenswirklichkeit </w:t>
      </w:r>
      <w:r>
        <w:rPr>
          <w:lang w:eastAsia="de-DE"/>
        </w:rPr>
        <w:t>von Frauen aus</w:t>
      </w:r>
      <w:r w:rsidR="003B065E">
        <w:rPr>
          <w:lang w:eastAsia="de-DE"/>
        </w:rPr>
        <w:t>zu</w:t>
      </w:r>
      <w:r>
        <w:rPr>
          <w:lang w:eastAsia="de-DE"/>
        </w:rPr>
        <w:t>richten</w:t>
      </w:r>
      <w:r w:rsidR="003B065E">
        <w:rPr>
          <w:lang w:eastAsia="de-DE"/>
        </w:rPr>
        <w:t>, Müttersterblichkeit muss bekämpft</w:t>
      </w:r>
      <w:r w:rsidR="00015128">
        <w:rPr>
          <w:lang w:eastAsia="de-DE"/>
        </w:rPr>
        <w:t>, Mutterschutz gewährleistet</w:t>
      </w:r>
      <w:r w:rsidR="00015128" w:rsidRPr="00015128">
        <w:rPr>
          <w:lang w:eastAsia="de-DE"/>
        </w:rPr>
        <w:t xml:space="preserve"> </w:t>
      </w:r>
      <w:r w:rsidR="00015128">
        <w:rPr>
          <w:lang w:eastAsia="de-DE"/>
        </w:rPr>
        <w:t>werden</w:t>
      </w:r>
      <w:r w:rsidR="003B065E">
        <w:rPr>
          <w:lang w:eastAsia="de-DE"/>
        </w:rPr>
        <w:t>.</w:t>
      </w:r>
      <w:bookmarkStart w:id="1" w:name="_Ref375651497"/>
      <w:r w:rsidR="00015128">
        <w:rPr>
          <w:rStyle w:val="Funotenzeichen"/>
          <w:rFonts w:ascii="Microsoft Sans Serif" w:eastAsia="Times New Roman" w:hAnsi="Microsoft Sans Serif" w:cs="Microsoft Sans Serif"/>
          <w:lang w:eastAsia="de-DE"/>
        </w:rPr>
        <w:footnoteReference w:id="3"/>
      </w:r>
      <w:bookmarkEnd w:id="1"/>
      <w:r w:rsidR="003B065E">
        <w:rPr>
          <w:lang w:eastAsia="de-DE"/>
        </w:rPr>
        <w:t xml:space="preserve"> Ausdrücklich nennt Artikel 16 (</w:t>
      </w:r>
      <w:r w:rsidR="003B065E" w:rsidRPr="00AA314D">
        <w:rPr>
          <w:lang w:eastAsia="de-DE"/>
        </w:rPr>
        <w:t>e)</w:t>
      </w:r>
      <w:r w:rsidR="003B065E">
        <w:rPr>
          <w:lang w:eastAsia="de-DE"/>
        </w:rPr>
        <w:t xml:space="preserve"> das gleiche</w:t>
      </w:r>
      <w:r w:rsidR="003B065E" w:rsidRPr="00AA314D">
        <w:rPr>
          <w:lang w:eastAsia="de-DE"/>
        </w:rPr>
        <w:t xml:space="preserve"> Recht auf Familienplanung</w:t>
      </w:r>
      <w:r w:rsidR="00646D8B">
        <w:rPr>
          <w:lang w:eastAsia="de-DE"/>
        </w:rPr>
        <w:t xml:space="preserve">, einschließlich des Zugangs zu den Mitteln der Familienplanung. </w:t>
      </w:r>
      <w:r w:rsidR="00397D44">
        <w:rPr>
          <w:lang w:eastAsia="de-DE"/>
        </w:rPr>
        <w:t xml:space="preserve">Diese spezifiziert </w:t>
      </w:r>
      <w:r w:rsidR="00646D8B">
        <w:rPr>
          <w:lang w:eastAsia="de-DE"/>
        </w:rPr>
        <w:t xml:space="preserve">CEDAW nicht </w:t>
      </w:r>
      <w:r w:rsidR="00397D44">
        <w:rPr>
          <w:lang w:eastAsia="de-DE"/>
        </w:rPr>
        <w:t>weiter</w:t>
      </w:r>
      <w:r w:rsidR="00646D8B">
        <w:rPr>
          <w:lang w:eastAsia="de-DE"/>
        </w:rPr>
        <w:t xml:space="preserve">; erfasst sind nach Auffassung des </w:t>
      </w:r>
      <w:r w:rsidR="00D257E4">
        <w:rPr>
          <w:lang w:eastAsia="de-DE"/>
        </w:rPr>
        <w:t xml:space="preserve">zur Auslegung von CEDAW berufenen Sachverständigenausschusses </w:t>
      </w:r>
      <w:r w:rsidR="00646D8B">
        <w:rPr>
          <w:lang w:eastAsia="de-DE"/>
        </w:rPr>
        <w:t xml:space="preserve">schwangerschaftsverhütenden Mittel und </w:t>
      </w:r>
      <w:r w:rsidR="00646D8B">
        <w:rPr>
          <w:lang w:eastAsia="de-DE"/>
        </w:rPr>
        <w:noBreakHyphen/>
        <w:t xml:space="preserve"> wo staatlich erlaubt </w:t>
      </w:r>
      <w:r w:rsidR="00646D8B">
        <w:rPr>
          <w:lang w:eastAsia="de-DE"/>
        </w:rPr>
        <w:noBreakHyphen/>
        <w:t xml:space="preserve"> Abtreibung</w:t>
      </w:r>
      <w:r w:rsidR="003B065E">
        <w:rPr>
          <w:lang w:eastAsia="de-DE"/>
        </w:rPr>
        <w:t>.</w:t>
      </w:r>
      <w:r w:rsidR="006608C0">
        <w:rPr>
          <w:lang w:eastAsia="de-DE"/>
        </w:rPr>
        <w:t xml:space="preserve"> </w:t>
      </w:r>
      <w:r w:rsidR="00397D44">
        <w:rPr>
          <w:lang w:eastAsia="de-DE"/>
        </w:rPr>
        <w:t>Der Ausschuss hebt hervor, dass unzureichende sexuelle Aufklärung oft zu heimlichen Abtreibungen unter gesundheitsgefährdenden Bedingungen führt.</w:t>
      </w:r>
    </w:p>
    <w:p w:rsidR="00397D44" w:rsidRDefault="006C423A" w:rsidP="001F48EA">
      <w:pPr>
        <w:rPr>
          <w:lang w:eastAsia="de-DE"/>
        </w:rPr>
      </w:pPr>
      <w:r>
        <w:rPr>
          <w:lang w:eastAsia="de-DE"/>
        </w:rPr>
        <w:t xml:space="preserve">Das Recht auf Bildung ist das Menschenrecht, welches die eigenständige Ausübung aller anderen Rechte ermöglicht </w:t>
      </w:r>
      <w:r>
        <w:rPr>
          <w:lang w:eastAsia="de-DE"/>
        </w:rPr>
        <w:noBreakHyphen/>
        <w:t xml:space="preserve"> von der politischen Beteiligung durch Meinungsäußerung, Teilnahme an Versammlungen und Vereinigungen sowie die Ausübung des aktiven und passiven Wahlrechts, über Erwerbstätigkeit, welche die finanzielle Unabhängigkeit gewährleistet, bis hin zur Beteiligung am sozialen Leben in allen seinen Facetten. Es hat für Mädchen und Frauen besondere Bedeutung, weil sie überall in der Welt infolge gesellschaftlicher Rollenvorstellungen in ihrer Entscheidung über ihre Lebensgestaltung eingeschränkt werden.</w:t>
      </w:r>
      <w:r w:rsidR="0069475E">
        <w:rPr>
          <w:lang w:eastAsia="de-DE"/>
        </w:rPr>
        <w:t xml:space="preserve"> Nichtdiskriminierung im Bildungsbereich </w:t>
      </w:r>
      <w:r w:rsidR="007715CD">
        <w:rPr>
          <w:lang w:eastAsia="de-DE"/>
        </w:rPr>
        <w:t xml:space="preserve">gemäß Art. 10 </w:t>
      </w:r>
      <w:r w:rsidR="000B00B6">
        <w:rPr>
          <w:lang w:eastAsia="de-DE"/>
        </w:rPr>
        <w:t>verlangt</w:t>
      </w:r>
      <w:r w:rsidR="0069475E">
        <w:rPr>
          <w:lang w:eastAsia="de-DE"/>
        </w:rPr>
        <w:t xml:space="preserve"> </w:t>
      </w:r>
      <w:r w:rsidR="000B00B6">
        <w:rPr>
          <w:lang w:eastAsia="de-DE"/>
        </w:rPr>
        <w:t xml:space="preserve">gleichen </w:t>
      </w:r>
      <w:r w:rsidR="0069475E">
        <w:rPr>
          <w:lang w:eastAsia="de-DE"/>
        </w:rPr>
        <w:t xml:space="preserve">Zugang von Mädchen zu Schule und weiterführender Bildung, </w:t>
      </w:r>
      <w:r w:rsidR="001F7DF7">
        <w:rPr>
          <w:lang w:eastAsia="de-DE"/>
        </w:rPr>
        <w:t>gleich gute Lernbedingungen und Lehrkräfte für Mädchen sowie die Beseitigung von Geschlechterstereotypen in Schulbüchern.</w:t>
      </w:r>
      <w:r w:rsidR="007715CD">
        <w:rPr>
          <w:rStyle w:val="Funotenzeichen"/>
          <w:rFonts w:ascii="Microsoft Sans Serif" w:eastAsia="Times New Roman" w:hAnsi="Microsoft Sans Serif" w:cs="Microsoft Sans Serif"/>
          <w:lang w:eastAsia="de-DE"/>
        </w:rPr>
        <w:footnoteReference w:id="4"/>
      </w:r>
    </w:p>
    <w:p w:rsidR="00397D44" w:rsidRDefault="00397D44" w:rsidP="001F48EA">
      <w:pPr>
        <w:rPr>
          <w:rFonts w:ascii="Microsoft Sans Serif" w:eastAsia="Times New Roman" w:hAnsi="Microsoft Sans Serif" w:cs="Microsoft Sans Serif"/>
          <w:lang w:eastAsia="de-DE"/>
        </w:rPr>
      </w:pPr>
      <w:r w:rsidRPr="001F48EA">
        <w:t xml:space="preserve">Eine wichtige Rolle </w:t>
      </w:r>
      <w:r w:rsidR="000B00B6" w:rsidRPr="001F48EA">
        <w:t xml:space="preserve">für die gleichen Lebenschancen von Frauen </w:t>
      </w:r>
      <w:r w:rsidRPr="001F48EA">
        <w:t xml:space="preserve">spielen auch </w:t>
      </w:r>
      <w:r w:rsidR="00173738" w:rsidRPr="001F48EA">
        <w:t xml:space="preserve">das </w:t>
      </w:r>
      <w:r w:rsidR="001A4B67" w:rsidRPr="001F48EA">
        <w:t xml:space="preserve">Zivilrecht sowie </w:t>
      </w:r>
      <w:r w:rsidR="00173738" w:rsidRPr="001F48EA">
        <w:t xml:space="preserve">das </w:t>
      </w:r>
      <w:r w:rsidR="001A4B67" w:rsidRPr="001F48EA">
        <w:t>Ehe- und Familienrecht.</w:t>
      </w:r>
      <w:r w:rsidR="00173738" w:rsidRPr="001F48EA">
        <w:t xml:space="preserve"> </w:t>
      </w:r>
      <w:r w:rsidR="000B00B6" w:rsidRPr="001F48EA">
        <w:t xml:space="preserve">Frauen müssen das gleiche Recht haben, Verträge zu schließen, Eigentum zu erwerben </w:t>
      </w:r>
      <w:r w:rsidR="00E8787B" w:rsidRPr="001F48EA">
        <w:t xml:space="preserve">und im gesamten Rechtsverkehr allein aufzutreten (Art. 15). </w:t>
      </w:r>
      <w:r w:rsidR="00C40D33" w:rsidRPr="001F48EA">
        <w:t>Ebenso muss im Ehe- und Familienecht echte Gleichheit herrschen (A</w:t>
      </w:r>
      <w:r w:rsidR="00B757C1" w:rsidRPr="001F48EA">
        <w:t>rt</w:t>
      </w:r>
      <w:r w:rsidR="00C40D33" w:rsidRPr="001F48EA">
        <w:t>.</w:t>
      </w:r>
      <w:r w:rsidR="00B757C1" w:rsidRPr="001F48EA">
        <w:t> 16</w:t>
      </w:r>
      <w:r w:rsidR="00C40D33" w:rsidRPr="001F48EA">
        <w:t xml:space="preserve">). Dazu gehören das Recht auf freie Entscheidung über die Eheschließung, gleiche Rechte und Pflichten in der Ehe und bei der Scheidung </w:t>
      </w:r>
      <w:r w:rsidR="008751A5" w:rsidRPr="001F48EA">
        <w:t xml:space="preserve">sowie hinsichtlich des Sorgerechts für Kinder. </w:t>
      </w:r>
      <w:r w:rsidRPr="001F48EA">
        <w:t xml:space="preserve">In </w:t>
      </w:r>
      <w:r w:rsidR="008751A5" w:rsidRPr="001F48EA">
        <w:t xml:space="preserve">vielen Staaten sind diese Rechtsmaterien von traditionellen Rollenvorstellungen der Eheleute bestimmt; deshalb sind alle Staaten aufgerufen, ihre Rechtsordnung kritisch zu durchleuchten. Zum Teil verweist der Staat sogar für das Ehe- und Familienrecht auf die </w:t>
      </w:r>
      <w:r w:rsidR="008751A5" w:rsidRPr="001F48EA">
        <w:lastRenderedPageBreak/>
        <w:t>Regelungen</w:t>
      </w:r>
      <w:r w:rsidR="008751A5">
        <w:rPr>
          <w:rFonts w:ascii="Microsoft Sans Serif" w:eastAsia="Times New Roman" w:hAnsi="Microsoft Sans Serif" w:cs="Microsoft Sans Serif"/>
          <w:lang w:eastAsia="de-DE"/>
        </w:rPr>
        <w:t xml:space="preserve"> von Religionsgemeinschaften; soweit solches Recht Frauen diskriminiert, darf der Staat es nicht anerkennen.</w:t>
      </w:r>
    </w:p>
    <w:p w:rsidR="00BF7A35" w:rsidRPr="00BF7A35" w:rsidRDefault="00BF7A35" w:rsidP="000A19C7">
      <w:pPr>
        <w:pStyle w:val="berschrift2"/>
        <w:rPr>
          <w:rFonts w:eastAsia="Times New Roman"/>
          <w:lang w:eastAsia="de-DE"/>
        </w:rPr>
      </w:pPr>
      <w:r>
        <w:rPr>
          <w:rFonts w:eastAsia="Times New Roman"/>
          <w:lang w:eastAsia="de-DE"/>
        </w:rPr>
        <w:t>Diskriminierung durch Privatpersonen</w:t>
      </w:r>
    </w:p>
    <w:p w:rsidR="00AA314D" w:rsidRPr="00AA314D" w:rsidRDefault="00B757C1" w:rsidP="001F48EA">
      <w:pPr>
        <w:rPr>
          <w:lang w:eastAsia="de-DE"/>
        </w:rPr>
      </w:pPr>
      <w:r>
        <w:rPr>
          <w:lang w:eastAsia="de-DE"/>
        </w:rPr>
        <w:t xml:space="preserve">CEDAW ist auch insoweit ein </w:t>
      </w:r>
      <w:r w:rsidR="001A4B67">
        <w:rPr>
          <w:lang w:eastAsia="de-DE"/>
        </w:rPr>
        <w:t>Meilenstein</w:t>
      </w:r>
      <w:r>
        <w:rPr>
          <w:lang w:eastAsia="de-DE"/>
        </w:rPr>
        <w:t xml:space="preserve"> für den wirksamen Schutz der gleichen Menschenrechte von Frauen, als die Konvention </w:t>
      </w:r>
      <w:r w:rsidR="00AA314D" w:rsidRPr="00AA314D">
        <w:rPr>
          <w:lang w:eastAsia="de-DE"/>
        </w:rPr>
        <w:t>die Grenze zwischen „privat“ und „öffentlich“</w:t>
      </w:r>
      <w:r>
        <w:rPr>
          <w:lang w:eastAsia="de-DE"/>
        </w:rPr>
        <w:t xml:space="preserve"> überwindet</w:t>
      </w:r>
      <w:r w:rsidR="00AA314D" w:rsidRPr="00AA314D">
        <w:rPr>
          <w:lang w:eastAsia="de-DE"/>
        </w:rPr>
        <w:t xml:space="preserve">. </w:t>
      </w:r>
      <w:r w:rsidR="00BE1B92">
        <w:rPr>
          <w:lang w:eastAsia="de-DE"/>
        </w:rPr>
        <w:t xml:space="preserve">Nach </w:t>
      </w:r>
      <w:r w:rsidR="00AA314D" w:rsidRPr="00AA314D">
        <w:rPr>
          <w:lang w:eastAsia="de-DE"/>
        </w:rPr>
        <w:t>Art</w:t>
      </w:r>
      <w:r w:rsidR="00BE1B92">
        <w:rPr>
          <w:lang w:eastAsia="de-DE"/>
        </w:rPr>
        <w:t>ikel</w:t>
      </w:r>
      <w:r w:rsidR="00AA314D" w:rsidRPr="00AA314D">
        <w:rPr>
          <w:lang w:eastAsia="de-DE"/>
        </w:rPr>
        <w:t xml:space="preserve"> 2 (e) </w:t>
      </w:r>
      <w:r w:rsidR="00BE1B92">
        <w:rPr>
          <w:lang w:eastAsia="de-DE"/>
        </w:rPr>
        <w:t xml:space="preserve">müssen </w:t>
      </w:r>
      <w:r w:rsidR="00AA314D" w:rsidRPr="00AA314D">
        <w:rPr>
          <w:lang w:eastAsia="de-DE"/>
        </w:rPr>
        <w:t xml:space="preserve">die Staaten </w:t>
      </w:r>
      <w:r w:rsidR="00BE1B92">
        <w:rPr>
          <w:lang w:eastAsia="de-DE"/>
        </w:rPr>
        <w:t xml:space="preserve">nämlich </w:t>
      </w:r>
      <w:r w:rsidR="00AA314D" w:rsidRPr="00AA314D">
        <w:rPr>
          <w:lang w:eastAsia="de-DE"/>
        </w:rPr>
        <w:t xml:space="preserve">auch Diskriminierung durch Privatpersonen </w:t>
      </w:r>
      <w:r w:rsidR="00BE1B92">
        <w:rPr>
          <w:lang w:eastAsia="de-DE"/>
        </w:rPr>
        <w:t>beseitigen</w:t>
      </w:r>
      <w:r w:rsidR="00AA314D" w:rsidRPr="00AA314D">
        <w:rPr>
          <w:lang w:eastAsia="de-DE"/>
        </w:rPr>
        <w:t>. Zusammen mit Art</w:t>
      </w:r>
      <w:r w:rsidR="00400076">
        <w:rPr>
          <w:lang w:eastAsia="de-DE"/>
        </w:rPr>
        <w:t>ikel</w:t>
      </w:r>
      <w:r w:rsidR="00AA314D" w:rsidRPr="00AA314D">
        <w:rPr>
          <w:lang w:eastAsia="de-DE"/>
        </w:rPr>
        <w:t> 2</w:t>
      </w:r>
      <w:r w:rsidR="00400076">
        <w:rPr>
          <w:lang w:eastAsia="de-DE"/>
        </w:rPr>
        <w:t> </w:t>
      </w:r>
      <w:r w:rsidR="00AA314D" w:rsidRPr="00AA314D">
        <w:rPr>
          <w:lang w:eastAsia="de-DE"/>
        </w:rPr>
        <w:t>(f), der die Staaten verpflichtet, auf eine Änderung von diskriminierenden Gepflogenheiten und Praktiken hinzuwirken, ergibt sich so eine weit reichende Verpflichtung, Frauen auch und gerade im familiären und häuslichen Bereich vo</w:t>
      </w:r>
      <w:r w:rsidR="006D33E7">
        <w:rPr>
          <w:lang w:eastAsia="de-DE"/>
        </w:rPr>
        <w:t>r Diskriminierung zu schützen. D</w:t>
      </w:r>
      <w:r w:rsidR="00AA314D" w:rsidRPr="00AA314D">
        <w:rPr>
          <w:lang w:eastAsia="de-DE"/>
        </w:rPr>
        <w:t xml:space="preserve">as </w:t>
      </w:r>
      <w:r w:rsidR="006D33E7">
        <w:rPr>
          <w:lang w:eastAsia="de-DE"/>
        </w:rPr>
        <w:t xml:space="preserve">war es, was </w:t>
      </w:r>
      <w:r w:rsidR="00AA314D" w:rsidRPr="00AA314D">
        <w:rPr>
          <w:lang w:eastAsia="de-DE"/>
        </w:rPr>
        <w:t xml:space="preserve">die </w:t>
      </w:r>
      <w:r w:rsidR="006D33E7">
        <w:rPr>
          <w:lang w:eastAsia="de-DE"/>
        </w:rPr>
        <w:t xml:space="preserve">zweite </w:t>
      </w:r>
      <w:r w:rsidR="00AA314D" w:rsidRPr="00AA314D">
        <w:rPr>
          <w:lang w:eastAsia="de-DE"/>
        </w:rPr>
        <w:t xml:space="preserve">Frauenbewegung mit dem </w:t>
      </w:r>
      <w:r w:rsidR="00AA314D" w:rsidRPr="006D33E7">
        <w:rPr>
          <w:lang w:eastAsia="de-DE"/>
        </w:rPr>
        <w:t>Slogan „Das Private ist politisch!“ gefordert hat</w:t>
      </w:r>
      <w:r w:rsidR="006D33E7" w:rsidRPr="006D33E7">
        <w:rPr>
          <w:lang w:eastAsia="de-DE"/>
        </w:rPr>
        <w:t>te.</w:t>
      </w:r>
      <w:r w:rsidR="00AA314D" w:rsidRPr="006D33E7">
        <w:rPr>
          <w:lang w:eastAsia="de-DE"/>
        </w:rPr>
        <w:t xml:space="preserve"> </w:t>
      </w:r>
      <w:r w:rsidRPr="006D33E7">
        <w:rPr>
          <w:lang w:eastAsia="de-DE"/>
        </w:rPr>
        <w:t xml:space="preserve">CEDAW </w:t>
      </w:r>
      <w:r w:rsidR="00AA314D" w:rsidRPr="006D33E7">
        <w:rPr>
          <w:lang w:eastAsia="de-DE"/>
        </w:rPr>
        <w:t xml:space="preserve">überwindet </w:t>
      </w:r>
      <w:r w:rsidRPr="006D33E7">
        <w:rPr>
          <w:lang w:eastAsia="de-DE"/>
        </w:rPr>
        <w:t xml:space="preserve">damit </w:t>
      </w:r>
      <w:r w:rsidR="00AA314D" w:rsidRPr="006D33E7">
        <w:rPr>
          <w:lang w:eastAsia="de-DE"/>
        </w:rPr>
        <w:t>ein Verständnis</w:t>
      </w:r>
      <w:r w:rsidRPr="006D33E7">
        <w:rPr>
          <w:lang w:eastAsia="de-DE"/>
        </w:rPr>
        <w:t>, dass</w:t>
      </w:r>
      <w:r w:rsidR="00AA314D" w:rsidRPr="006D33E7">
        <w:rPr>
          <w:lang w:eastAsia="de-DE"/>
        </w:rPr>
        <w:t xml:space="preserve"> </w:t>
      </w:r>
      <w:r w:rsidRPr="006D33E7">
        <w:rPr>
          <w:lang w:eastAsia="de-DE"/>
        </w:rPr>
        <w:t>Menschenrechte</w:t>
      </w:r>
      <w:r w:rsidR="00AA314D" w:rsidRPr="006D33E7">
        <w:rPr>
          <w:lang w:eastAsia="de-DE"/>
        </w:rPr>
        <w:t xml:space="preserve"> allein gegen</w:t>
      </w:r>
      <w:r w:rsidR="00AA314D" w:rsidRPr="00AA314D">
        <w:rPr>
          <w:lang w:eastAsia="de-DE"/>
        </w:rPr>
        <w:t xml:space="preserve"> staatliche Einmischung in Freiheitsbereiche gerichtete </w:t>
      </w:r>
      <w:r>
        <w:rPr>
          <w:lang w:eastAsia="de-DE"/>
        </w:rPr>
        <w:t>seien (Abwehrrechte)</w:t>
      </w:r>
      <w:r w:rsidR="00AA314D" w:rsidRPr="00AA314D">
        <w:rPr>
          <w:lang w:eastAsia="de-DE"/>
        </w:rPr>
        <w:t xml:space="preserve">. </w:t>
      </w:r>
      <w:r w:rsidR="006D33E7">
        <w:rPr>
          <w:lang w:eastAsia="de-DE"/>
        </w:rPr>
        <w:t xml:space="preserve">Menschenrechte sind eben auch Schutzrechte, d.h. Rechte zum Schutz der Schwächeren gegenüber den Stärkeren in privaten Beziehungen. Solcher Schutz kann als letztes Mittel auch </w:t>
      </w:r>
      <w:r w:rsidR="00BF7A35">
        <w:rPr>
          <w:lang w:eastAsia="de-DE"/>
        </w:rPr>
        <w:t>s</w:t>
      </w:r>
      <w:r w:rsidR="006D33E7">
        <w:rPr>
          <w:lang w:eastAsia="de-DE"/>
        </w:rPr>
        <w:t>trafrecht</w:t>
      </w:r>
      <w:r w:rsidR="00BF7A35">
        <w:rPr>
          <w:lang w:eastAsia="de-DE"/>
        </w:rPr>
        <w:t>liche Sanktionen</w:t>
      </w:r>
      <w:r w:rsidR="006D33E7">
        <w:rPr>
          <w:lang w:eastAsia="de-DE"/>
        </w:rPr>
        <w:t xml:space="preserve"> umfassen, etwa </w:t>
      </w:r>
      <w:r w:rsidR="00BF7A35">
        <w:rPr>
          <w:lang w:eastAsia="de-DE"/>
        </w:rPr>
        <w:t>bei Vergewaltigung in der Ehe.</w:t>
      </w:r>
    </w:p>
    <w:p w:rsidR="00AA314D" w:rsidRDefault="00AA314D" w:rsidP="001F48EA">
      <w:pPr>
        <w:rPr>
          <w:lang w:eastAsia="de-DE"/>
        </w:rPr>
      </w:pPr>
      <w:r w:rsidRPr="00AA314D">
        <w:rPr>
          <w:lang w:eastAsia="de-DE"/>
        </w:rPr>
        <w:t xml:space="preserve">Schließlich richtet sich CEDAW auch gegen die Grundlage der Diskriminierung von Frauen: soziale </w:t>
      </w:r>
      <w:r w:rsidR="001A4B67">
        <w:rPr>
          <w:lang w:eastAsia="de-DE"/>
        </w:rPr>
        <w:t xml:space="preserve">anerkannte </w:t>
      </w:r>
      <w:r w:rsidRPr="00AA314D">
        <w:rPr>
          <w:lang w:eastAsia="de-DE"/>
        </w:rPr>
        <w:t>und kulturell</w:t>
      </w:r>
      <w:r w:rsidR="001A4B67">
        <w:rPr>
          <w:lang w:eastAsia="de-DE"/>
        </w:rPr>
        <w:t xml:space="preserve"> begründet</w:t>
      </w:r>
      <w:r w:rsidRPr="00AA314D">
        <w:rPr>
          <w:lang w:eastAsia="de-DE"/>
        </w:rPr>
        <w:t xml:space="preserve">e </w:t>
      </w:r>
      <w:r w:rsidRPr="001A4B67">
        <w:rPr>
          <w:lang w:eastAsia="de-DE"/>
        </w:rPr>
        <w:t>Verhaltensmuster von</w:t>
      </w:r>
      <w:r w:rsidRPr="00AA314D">
        <w:rPr>
          <w:lang w:eastAsia="de-DE"/>
        </w:rPr>
        <w:t xml:space="preserve"> Männern und Frauen, Vorurteile, Vorstellungen von der Überlegenheit oder Unterlegenheit eines der Geschlechter sowie stereotype Rollenbilder</w:t>
      </w:r>
      <w:r w:rsidR="006D33E7">
        <w:rPr>
          <w:lang w:eastAsia="de-DE"/>
        </w:rPr>
        <w:t>. Zu letztgenannten zählt auch eine</w:t>
      </w:r>
      <w:r w:rsidRPr="00AA314D">
        <w:rPr>
          <w:lang w:eastAsia="de-DE"/>
        </w:rPr>
        <w:t xml:space="preserve"> aus der biolog</w:t>
      </w:r>
      <w:r w:rsidR="006D33E7">
        <w:rPr>
          <w:lang w:eastAsia="de-DE"/>
        </w:rPr>
        <w:t>ischen Mutterschaft abgeleitete</w:t>
      </w:r>
      <w:r w:rsidRPr="00AA314D">
        <w:rPr>
          <w:lang w:eastAsia="de-DE"/>
        </w:rPr>
        <w:t xml:space="preserve"> Vorstellung von sozialer Mutterschaft, die die gemeinsame Verantwortung beider Elternteile fü</w:t>
      </w:r>
      <w:r w:rsidR="006D33E7">
        <w:rPr>
          <w:lang w:eastAsia="de-DE"/>
        </w:rPr>
        <w:t>r die Kindererziehung ignoriert</w:t>
      </w:r>
      <w:r w:rsidRPr="00AA314D">
        <w:rPr>
          <w:lang w:eastAsia="de-DE"/>
        </w:rPr>
        <w:t xml:space="preserve"> </w:t>
      </w:r>
      <w:r w:rsidR="006D33E7">
        <w:rPr>
          <w:lang w:eastAsia="de-DE"/>
        </w:rPr>
        <w:t>und den Eltern a priori unterschiedliche Aufgaben zuweisen</w:t>
      </w:r>
      <w:r w:rsidRPr="00AA314D">
        <w:rPr>
          <w:lang w:eastAsia="de-DE"/>
        </w:rPr>
        <w:t>. Art. 5 statuiert staatliche Pflichten, auf die Überwindung all dieser Hindernisse für die substanzielle Gleichheit von Frauen hinzuwirken.</w:t>
      </w:r>
      <w:r w:rsidRPr="00AA314D">
        <w:rPr>
          <w:vertAlign w:val="superscript"/>
          <w:lang w:eastAsia="de-DE"/>
        </w:rPr>
        <w:footnoteReference w:id="5"/>
      </w:r>
      <w:r w:rsidR="006D33E7">
        <w:rPr>
          <w:lang w:eastAsia="de-DE"/>
        </w:rPr>
        <w:t xml:space="preserve"> Als Menschenrechtsvertrag verlangt CEDAW von den Staaten, dass sie hierbei unter Beachtung der religiösen und weltanschaulichen Überzeugungen der Menschen vorgehen. Es darf also keinen Zwang geben, seine Überzeugungen aufzugeben, sondern der Staat muss durch geeignete Bildungsmaterialien zur kritischen Auseinandersetzung mit hergebrachten frauendiskriminierenden Überzeugungen und Wertvorstellungen anregen.</w:t>
      </w:r>
      <w:r w:rsidR="00BF7A35">
        <w:rPr>
          <w:lang w:eastAsia="de-DE"/>
        </w:rPr>
        <w:t xml:space="preserve"> Und er muss sein eigenes Recht daraufhin überprüfen, ob es solche Überzeugungen widerspiegelt</w:t>
      </w:r>
      <w:r w:rsidR="00960BD0">
        <w:rPr>
          <w:lang w:eastAsia="de-DE"/>
        </w:rPr>
        <w:t xml:space="preserve"> und zementiert</w:t>
      </w:r>
      <w:r w:rsidR="00BF7A35">
        <w:rPr>
          <w:lang w:eastAsia="de-DE"/>
        </w:rPr>
        <w:t>.</w:t>
      </w:r>
      <w:r w:rsidR="00960BD0">
        <w:rPr>
          <w:lang w:eastAsia="de-DE"/>
        </w:rPr>
        <w:t xml:space="preserve"> Elterngeldregelungen müssen etwa so ausgestaltet sein, dass volle Wahlfreiheit für beide Elternteile besteht und nicht</w:t>
      </w:r>
      <w:r w:rsidR="00DE1952">
        <w:rPr>
          <w:lang w:eastAsia="de-DE"/>
        </w:rPr>
        <w:t xml:space="preserve"> eine gleichberechtigte Aufgabenverteilung für Eltern finanziell nachteilig ist (wie das bislang </w:t>
      </w:r>
      <w:r w:rsidR="00911ABD">
        <w:rPr>
          <w:lang w:eastAsia="de-DE"/>
        </w:rPr>
        <w:t xml:space="preserve">in Deutschland </w:t>
      </w:r>
      <w:r w:rsidR="00DE1952">
        <w:rPr>
          <w:lang w:eastAsia="de-DE"/>
        </w:rPr>
        <w:t>der Fall war, wenn beide Elternteile gleichzeitig in Teilzeit gehen wollten).</w:t>
      </w:r>
    </w:p>
    <w:p w:rsidR="00BF7A35" w:rsidRPr="00BF7A35" w:rsidRDefault="00BF7A35" w:rsidP="000A19C7">
      <w:pPr>
        <w:pStyle w:val="berschrift2"/>
        <w:rPr>
          <w:rFonts w:eastAsia="Times New Roman"/>
          <w:lang w:eastAsia="de-DE"/>
        </w:rPr>
      </w:pPr>
      <w:r w:rsidRPr="00BF7A35">
        <w:rPr>
          <w:rFonts w:eastAsia="Times New Roman"/>
          <w:lang w:eastAsia="de-DE"/>
        </w:rPr>
        <w:t>Gewalt gegen Fr</w:t>
      </w:r>
      <w:bookmarkStart w:id="2" w:name="_GoBack"/>
      <w:bookmarkEnd w:id="2"/>
      <w:r w:rsidRPr="00BF7A35">
        <w:rPr>
          <w:rFonts w:eastAsia="Times New Roman"/>
          <w:lang w:eastAsia="de-DE"/>
        </w:rPr>
        <w:t>auen</w:t>
      </w:r>
    </w:p>
    <w:p w:rsidR="000008E3" w:rsidRPr="00AA314D" w:rsidRDefault="002F087C" w:rsidP="001F48EA">
      <w:r w:rsidRPr="00AA314D">
        <w:t>Es mag erstaunen, dass CEDAW de</w:t>
      </w:r>
      <w:r w:rsidR="003570B8">
        <w:t>r</w:t>
      </w:r>
      <w:r w:rsidRPr="00AA314D">
        <w:t xml:space="preserve"> </w:t>
      </w:r>
      <w:r w:rsidR="003570B8">
        <w:t xml:space="preserve">Problematik von </w:t>
      </w:r>
      <w:r w:rsidRPr="00AA314D">
        <w:t xml:space="preserve">Gewalt gegen Frauen keine eigene Vorschrift widmet, abgesehen von Art. 6, der </w:t>
      </w:r>
      <w:r w:rsidR="00852739" w:rsidRPr="00AA314D">
        <w:t xml:space="preserve">Menschenhandel und </w:t>
      </w:r>
      <w:r w:rsidRPr="00AA314D">
        <w:t xml:space="preserve">die Ausbeutung </w:t>
      </w:r>
      <w:r w:rsidR="00852739" w:rsidRPr="00AA314D">
        <w:t xml:space="preserve">der Prostitution betrifft. </w:t>
      </w:r>
      <w:r w:rsidR="000008E3" w:rsidRPr="00AA314D">
        <w:t>Gewalt gegen Frauen</w:t>
      </w:r>
      <w:r w:rsidR="00852739" w:rsidRPr="00AA314D">
        <w:t xml:space="preserve"> ist eine eigenständige Kategorie von Gewalt</w:t>
      </w:r>
      <w:r w:rsidR="000008E3" w:rsidRPr="00AA314D">
        <w:t xml:space="preserve">, da Frauen anders als Männer von Gewalt betroffen sind. Gewalt </w:t>
      </w:r>
      <w:r w:rsidR="00D209B7">
        <w:t xml:space="preserve">gegen Frauen ist </w:t>
      </w:r>
      <w:r w:rsidR="000008E3" w:rsidRPr="00AA314D">
        <w:t>Gewalt als Ausdruck eines Hierarchie- und Dominanzverhältnisses zwischen Männern und Frauen und als Mittel zu dessen Zementierung. Das hat die UN-Generalversammlung 1993 in deutlichen Worten ausgesprochen</w:t>
      </w:r>
      <w:r w:rsidR="00B51026" w:rsidRPr="00AA314D">
        <w:t>.</w:t>
      </w:r>
      <w:r w:rsidR="000008E3" w:rsidRPr="00AA314D">
        <w:t xml:space="preserve"> </w:t>
      </w:r>
      <w:r w:rsidR="00B51026" w:rsidRPr="00AA314D">
        <w:rPr>
          <w:rFonts w:eastAsia="Times New Roman"/>
          <w:lang w:eastAsia="de-DE"/>
        </w:rPr>
        <w:t xml:space="preserve">Gewalt gegen Frauen sei ein Ausdruck der „historisch ungleichen Machtverhältnisse zwischen Männern und Frauen, die zur Herrschaft über und Diskriminierung von Frauen durch Männer geführt hat“, und sie sei ein „zentraler sozialer </w:t>
      </w:r>
      <w:r w:rsidR="00B51026" w:rsidRPr="00AA314D">
        <w:rPr>
          <w:rFonts w:eastAsia="Times New Roman"/>
          <w:lang w:eastAsia="de-DE"/>
        </w:rPr>
        <w:lastRenderedPageBreak/>
        <w:t>Mechanismus, durch den Frauen in eine im Vergleich zu Männern untergeordnete Position gezwungen“ würden.</w:t>
      </w:r>
      <w:r w:rsidR="00B51026" w:rsidRPr="00AA314D">
        <w:rPr>
          <w:rFonts w:eastAsia="Times New Roman"/>
          <w:vertAlign w:val="superscript"/>
          <w:lang w:val="en-GB" w:eastAsia="de-DE"/>
        </w:rPr>
        <w:footnoteReference w:id="6"/>
      </w:r>
      <w:r w:rsidR="00B51026" w:rsidRPr="00AA314D">
        <w:rPr>
          <w:rFonts w:eastAsia="Times New Roman"/>
          <w:lang w:eastAsia="de-DE"/>
        </w:rPr>
        <w:t xml:space="preserve"> </w:t>
      </w:r>
      <w:r w:rsidR="000008E3" w:rsidRPr="00AA314D">
        <w:t>Der CEDAW-Ausschuss versteht daher zu Recht Gewalt gegen Frauen als Diskriminierung, die nach Artikel 1 und 2 CEDAW beseitigt werden muss, ob sie nun vom Staat ausgeht oder von Privatpersonen.</w:t>
      </w:r>
      <w:r w:rsidR="00852739" w:rsidRPr="00AA314D">
        <w:t xml:space="preserve"> In seiner Allgemeinen Bemerkung Nr. 19 behandelt er umfassend Gewalt gegen Frauen aus menschenrechtlicher Perspektive und fächert die staatlichen Pflichten auf.</w:t>
      </w:r>
      <w:bookmarkStart w:id="3" w:name="_Ref315771182"/>
      <w:r w:rsidR="00B963B3" w:rsidRPr="00AA314D">
        <w:rPr>
          <w:rFonts w:eastAsia="Times New Roman"/>
          <w:vertAlign w:val="superscript"/>
          <w:lang w:eastAsia="de-DE"/>
        </w:rPr>
        <w:t xml:space="preserve"> </w:t>
      </w:r>
      <w:r w:rsidR="00B963B3" w:rsidRPr="00AA314D">
        <w:rPr>
          <w:rFonts w:eastAsia="Times New Roman"/>
          <w:vertAlign w:val="superscript"/>
          <w:lang w:eastAsia="de-DE"/>
        </w:rPr>
        <w:footnoteReference w:id="7"/>
      </w:r>
      <w:bookmarkEnd w:id="3"/>
      <w:r w:rsidR="00852739" w:rsidRPr="00AA314D">
        <w:t xml:space="preserve"> </w:t>
      </w:r>
      <w:r w:rsidR="002519AA" w:rsidRPr="00AA314D">
        <w:t xml:space="preserve">Dieses </w:t>
      </w:r>
      <w:r w:rsidR="00852739" w:rsidRPr="00AA314D">
        <w:t xml:space="preserve">Dokument </w:t>
      </w:r>
      <w:r w:rsidR="008751A5">
        <w:t xml:space="preserve">hat </w:t>
      </w:r>
      <w:r w:rsidR="002519AA" w:rsidRPr="00AA314D">
        <w:t xml:space="preserve">eine hohe </w:t>
      </w:r>
      <w:r w:rsidR="00852739" w:rsidRPr="00AA314D">
        <w:t>Autorität</w:t>
      </w:r>
      <w:r w:rsidR="00A14A4B">
        <w:t>, weil es von dem Sachverständigengremium verfasst wurde, welches zur Auslegung der Konvention berufen ist.</w:t>
      </w:r>
      <w:r w:rsidR="00DE59B2" w:rsidRPr="00AA314D">
        <w:t xml:space="preserve"> Die Staaten der Welt haben dieses Verständnis auf der Weltmenschenrechtskonferenz in Wien 1993 und auf der Vierten Weltfrauenkonferenz in Beijing 1995 bekräftigt.</w:t>
      </w:r>
    </w:p>
    <w:p w:rsidR="00071667" w:rsidRPr="00AA314D" w:rsidRDefault="00A14A4B" w:rsidP="001F48EA">
      <w:r>
        <w:t xml:space="preserve">Um Gewalt gegen Frauen wirksam zu bekämpfen, müssen die Staaten alle Formen von Gewalt gegen Frauen </w:t>
      </w:r>
      <w:r>
        <w:noBreakHyphen/>
        <w:t xml:space="preserve"> im Krieg, in der Gesellschaft und in der Familie </w:t>
      </w:r>
      <w:r>
        <w:noBreakHyphen/>
        <w:t xml:space="preserve"> strafrechtlich sanktionieren und wirksam verfolgen. Wichtig sind daneben </w:t>
      </w:r>
      <w:r w:rsidR="00DD3FBD">
        <w:t>Beratungs- und Schutzeinrichtungen</w:t>
      </w:r>
      <w:r>
        <w:t xml:space="preserve"> für betroffene Frauen, die insbesondere für alle zugänglich sein müssen, auch Frauen mit Behinderung und Migrantinnen, und die besonderen Bedürfnissen gerecht werden müssen, etwa der Behinderung eines Kindes. Wichtig und geboten sind auch Sensibilisierungsprogramme für Polizei und Justiz, die überall in der Welt immer noch schnell annehmen, bei Gewalt in der Familie handele es sich um eine „Familienangelegenheit“, oder die die vorhandenen Mittel zum Schutz von Frauen vor Gewalt, etwa die Wegweisung des gewalttätigen Mannes aus der gemeinsamen Wohnung, nicht anwenden.</w:t>
      </w:r>
    </w:p>
    <w:p w:rsidR="002F087C" w:rsidRPr="00AA314D" w:rsidRDefault="002F087C" w:rsidP="000A19C7">
      <w:pPr>
        <w:pStyle w:val="berschrift1"/>
      </w:pPr>
      <w:r w:rsidRPr="00AA314D">
        <w:t>Universalität oder kulturelle Relativität der Menschenrechte?</w:t>
      </w:r>
    </w:p>
    <w:p w:rsidR="00667D0A" w:rsidRDefault="00E5635E" w:rsidP="001F48EA">
      <w:r>
        <w:t>D</w:t>
      </w:r>
      <w:r w:rsidRPr="00AA314D">
        <w:t>ie Debatte um das Verhältnis von universellen Mensc</w:t>
      </w:r>
      <w:r>
        <w:t xml:space="preserve">henrechten und Kultur(en) </w:t>
      </w:r>
      <w:r w:rsidR="009264A0">
        <w:t xml:space="preserve">wird </w:t>
      </w:r>
      <w:r>
        <w:t>gerade in Bezug auf</w:t>
      </w:r>
      <w:r w:rsidRPr="00AA314D">
        <w:t xml:space="preserve"> </w:t>
      </w:r>
      <w:r>
        <w:t xml:space="preserve">Menschenrechte von Frauen, und damit auf </w:t>
      </w:r>
      <w:r w:rsidRPr="00AA314D">
        <w:t>CEDAW</w:t>
      </w:r>
      <w:r>
        <w:t>,</w:t>
      </w:r>
      <w:r w:rsidRPr="00AA314D">
        <w:t xml:space="preserve"> </w:t>
      </w:r>
      <w:r w:rsidR="009264A0">
        <w:t>geführt</w:t>
      </w:r>
      <w:r w:rsidR="00835911">
        <w:t xml:space="preserve">. </w:t>
      </w:r>
      <w:r w:rsidR="00667D0A">
        <w:t>S</w:t>
      </w:r>
      <w:r w:rsidR="00667D0A" w:rsidRPr="00667D0A">
        <w:t xml:space="preserve">ie entspannen sich </w:t>
      </w:r>
      <w:r w:rsidR="00667D0A">
        <w:t xml:space="preserve">vor allem </w:t>
      </w:r>
      <w:r w:rsidR="00667D0A" w:rsidRPr="00667D0A">
        <w:t xml:space="preserve">an Themen, die für </w:t>
      </w:r>
      <w:r w:rsidR="00667D0A">
        <w:t xml:space="preserve">das Leben von </w:t>
      </w:r>
      <w:r w:rsidR="00667D0A" w:rsidRPr="00667D0A">
        <w:t>Frauen von großer Bedeutung sind: Familienplanung, Ehe- und Familienrecht, Teilhabe von Frauen am öffentlichen Leben.</w:t>
      </w:r>
    </w:p>
    <w:p w:rsidR="00DE59B2" w:rsidRPr="00AA314D" w:rsidRDefault="00DE59B2" w:rsidP="001F48EA">
      <w:r w:rsidRPr="00AA314D">
        <w:t xml:space="preserve">Aus menschenrechtlicher Perspektive ist </w:t>
      </w:r>
      <w:r w:rsidR="00667D0A">
        <w:t>„</w:t>
      </w:r>
      <w:r w:rsidR="00667D0A" w:rsidRPr="00667D0A">
        <w:t>Universalität oder kulturelle Relativität von Menschenrechten</w:t>
      </w:r>
      <w:r w:rsidR="00667D0A">
        <w:t xml:space="preserve">“ </w:t>
      </w:r>
      <w:r w:rsidRPr="00AA314D">
        <w:t>e</w:t>
      </w:r>
      <w:r w:rsidR="00835911">
        <w:t>ine falsche Gegenüberstellung. Z</w:t>
      </w:r>
      <w:r w:rsidRPr="00AA314D">
        <w:t xml:space="preserve">um einen ist es </w:t>
      </w:r>
      <w:r w:rsidR="00835911">
        <w:t xml:space="preserve">nämlich </w:t>
      </w:r>
      <w:r w:rsidRPr="00AA314D">
        <w:t>der Kerngedanke der Menschenrechte, dass sie universell sind. Sie stehen jedem Menschen aufgrund seines Menschseins zu, und damit g</w:t>
      </w:r>
      <w:r w:rsidR="00835911">
        <w:t xml:space="preserve">erade unabhängig von Kulturen. </w:t>
      </w:r>
      <w:r w:rsidRPr="00AA314D">
        <w:t>Das wird aus der Präambel von CEDAW</w:t>
      </w:r>
      <w:r w:rsidR="00835911">
        <w:t xml:space="preserve"> unmissverständlich deutlich: S</w:t>
      </w:r>
      <w:r w:rsidRPr="00AA314D">
        <w:t>ie stellt das Verbot der Diskriminierung von Frauen in untrennbaren Zusam</w:t>
      </w:r>
      <w:r w:rsidR="00835911">
        <w:t xml:space="preserve">menhang mit der Menschenwürde. </w:t>
      </w:r>
      <w:r w:rsidRPr="00AA314D">
        <w:t xml:space="preserve">Denn Menschenwürde ist </w:t>
      </w:r>
      <w:r w:rsidR="00835911">
        <w:noBreakHyphen/>
      </w:r>
      <w:r w:rsidRPr="00AA314D">
        <w:t xml:space="preserve"> wie schon die Allgemeine Erklärung der Menschenrechte hervorhebt </w:t>
      </w:r>
      <w:r w:rsidR="00835911">
        <w:noBreakHyphen/>
      </w:r>
      <w:r w:rsidRPr="00AA314D">
        <w:t xml:space="preserve"> Gleichheit im Hin</w:t>
      </w:r>
      <w:r w:rsidR="00835911">
        <w:t xml:space="preserve">blick auf Rechte und Freiheit. </w:t>
      </w:r>
      <w:r w:rsidRPr="00AA314D">
        <w:t>Wer Geltung und Inhalt von Menschenrechten von Kulturen abhängig macht, negier</w:t>
      </w:r>
      <w:r w:rsidR="00835911">
        <w:t xml:space="preserve">t also die Menschenrechtsidee. </w:t>
      </w:r>
      <w:r w:rsidRPr="00AA314D">
        <w:t xml:space="preserve">Und </w:t>
      </w:r>
      <w:r w:rsidR="00DD3FBD">
        <w:t>Staaten, die</w:t>
      </w:r>
      <w:r w:rsidRPr="00AA314D">
        <w:t xml:space="preserve"> </w:t>
      </w:r>
      <w:r w:rsidR="00E5635E">
        <w:t xml:space="preserve">sich selbst freiwillig durch Ratifikation </w:t>
      </w:r>
      <w:r w:rsidRPr="00AA314D">
        <w:t xml:space="preserve">an CEDAW gebunden </w:t>
      </w:r>
      <w:r w:rsidR="00E5635E">
        <w:t>haben</w:t>
      </w:r>
      <w:r w:rsidRPr="00AA314D">
        <w:t>, k</w:t>
      </w:r>
      <w:r w:rsidR="00DD3FBD">
        <w:t>önnen</w:t>
      </w:r>
      <w:r w:rsidRPr="00AA314D">
        <w:t xml:space="preserve"> sich dem nicht nachträglich mit dem Verweis auf eine angeblich andere Kultur entziehen.</w:t>
      </w:r>
    </w:p>
    <w:p w:rsidR="002F087C" w:rsidRPr="00AA314D" w:rsidRDefault="00DE59B2" w:rsidP="001F48EA">
      <w:r w:rsidRPr="00AA314D">
        <w:t>Zum anderen ist die Gegenüberstellung von Menschenrechten und Kultur(en) auch insofern falsch, als sie suggeriert</w:t>
      </w:r>
      <w:r w:rsidR="00835911">
        <w:t xml:space="preserve">, dass Kulturen statisch sind. </w:t>
      </w:r>
      <w:r w:rsidRPr="00AA314D">
        <w:t xml:space="preserve">Damit wird aber </w:t>
      </w:r>
      <w:r w:rsidR="00835911">
        <w:noBreakHyphen/>
        <w:t xml:space="preserve"> </w:t>
      </w:r>
      <w:r w:rsidRPr="00AA314D">
        <w:t xml:space="preserve">bewusst oder unbewusst </w:t>
      </w:r>
      <w:r w:rsidR="00835911">
        <w:noBreakHyphen/>
      </w:r>
      <w:r w:rsidRPr="00AA314D">
        <w:t xml:space="preserve"> ausgeblendet, dass Kulturen wandelbar sind und dass es ein Menschenrecht </w:t>
      </w:r>
      <w:r w:rsidRPr="00AA314D">
        <w:lastRenderedPageBreak/>
        <w:t>auf Teilhabe am kulturellen Leben gibt. Art</w:t>
      </w:r>
      <w:r w:rsidR="00835911">
        <w:t>ikel</w:t>
      </w:r>
      <w:r w:rsidRPr="00AA314D">
        <w:t xml:space="preserve"> 15 </w:t>
      </w:r>
      <w:r w:rsidR="00835911">
        <w:t xml:space="preserve">des UN-Wirtschafts- und Sozialpaktes </w:t>
      </w:r>
      <w:r w:rsidRPr="00AA314D">
        <w:t>verbürgt dieses Recht. Zu ihm gehört es, sich frei entscheiden zu können, welcher Kultur (oder welchen Kult</w:t>
      </w:r>
      <w:r w:rsidR="00835911">
        <w:t xml:space="preserve">uren) man zugehörig sein will. </w:t>
      </w:r>
      <w:r w:rsidRPr="00AA314D">
        <w:t>Niemand darf also von einer Kultur gegen sei</w:t>
      </w:r>
      <w:r w:rsidR="00835911">
        <w:t xml:space="preserve">nen Willen vereinnahmt werden. </w:t>
      </w:r>
      <w:r w:rsidRPr="00AA314D">
        <w:t>Und es gehört dazu, an der Entwicklung dieser Kultur(en) mitwirken</w:t>
      </w:r>
      <w:r w:rsidR="00835911">
        <w:t xml:space="preserve"> zu können. Das bedeutet aber:</w:t>
      </w:r>
      <w:r w:rsidRPr="00AA314D">
        <w:t xml:space="preserve"> Kulturen sind nicht gegenüber den Anforderungen der universellen Menschenrechte geschützt; es gibt kein kulturelles Res</w:t>
      </w:r>
      <w:r w:rsidR="00835911">
        <w:t xml:space="preserve">ervat. </w:t>
      </w:r>
      <w:r w:rsidRPr="00AA314D">
        <w:t>Kulturen müssen sich vielmehr den Herausforderungen a</w:t>
      </w:r>
      <w:r w:rsidR="00835911">
        <w:t xml:space="preserve">us den Menschenrechten stellen. </w:t>
      </w:r>
      <w:r w:rsidRPr="00AA314D">
        <w:t>Außerdem garantiert CEDAW in Art</w:t>
      </w:r>
      <w:r w:rsidR="00835911">
        <w:t>ikel </w:t>
      </w:r>
      <w:r w:rsidRPr="00AA314D">
        <w:t xml:space="preserve">13 ausdrücklich Frauen das Recht auf gleiche Teilhabe am kulturellen Leben. Sie müssen also die Möglichkeit haben, auf den Wandel </w:t>
      </w:r>
      <w:r w:rsidR="00DD3FBD">
        <w:t xml:space="preserve">solcher </w:t>
      </w:r>
      <w:r w:rsidRPr="00AA314D">
        <w:t>kultureller Überzeugungen und Praxen hinzuwirk</w:t>
      </w:r>
      <w:r w:rsidR="00835911">
        <w:t xml:space="preserve">en, die Frauen benachteiligen. </w:t>
      </w:r>
      <w:r w:rsidR="00DD3FBD">
        <w:t xml:space="preserve">Hiermit </w:t>
      </w:r>
      <w:r w:rsidRPr="00AA314D">
        <w:t>gehen die Menschenrechte und insbes</w:t>
      </w:r>
      <w:r w:rsidR="00835911">
        <w:t>ondere</w:t>
      </w:r>
      <w:r w:rsidRPr="00AA314D">
        <w:t xml:space="preserve"> CEDAW über die klassische Staatsgerichtethe</w:t>
      </w:r>
      <w:r w:rsidR="00835911">
        <w:t xml:space="preserve">it von Menschenrechten hinaus. </w:t>
      </w:r>
      <w:r w:rsidRPr="00AA314D">
        <w:t>Frauen und Männer, die sich für Menschenrechte einsetzen und die in Religionsgemeinschaften oder kulturellen Gemeinschaften aktiv sind, sind daher aufgerufen, die menschenrechtliche Diskussion in diese</w:t>
      </w:r>
      <w:r w:rsidR="00835911">
        <w:t xml:space="preserve"> Gemeinschaften hineinzutragen.</w:t>
      </w:r>
      <w:r w:rsidRPr="00AA314D">
        <w:t xml:space="preserve"> In der Diskussion um Menschenrechte und Kultur(en) </w:t>
      </w:r>
      <w:r w:rsidR="009264A0">
        <w:t xml:space="preserve">liegt </w:t>
      </w:r>
      <w:r w:rsidRPr="00AA314D">
        <w:t>daher auch ein Potenzial für eine Verankerung von Menschenrechten in der Gesellschaft als Grundlage für die Beachtung von Me</w:t>
      </w:r>
      <w:r w:rsidR="00835911">
        <w:t xml:space="preserve">nschenrechten durch den Staat. </w:t>
      </w:r>
      <w:r w:rsidRPr="00AA314D">
        <w:t>Denn nur wenn Menschenrechte in einer Gesellschaft gelebt werden, ist auch die Beachtung von Menschenrechten durch die Staatsorgane sichergestellt.</w:t>
      </w:r>
    </w:p>
    <w:p w:rsidR="00EE706E" w:rsidRDefault="00E63AB5" w:rsidP="001F48EA">
      <w:r>
        <w:t xml:space="preserve">Gerade </w:t>
      </w:r>
      <w:r w:rsidR="008049D1">
        <w:t xml:space="preserve">für </w:t>
      </w:r>
      <w:r>
        <w:t xml:space="preserve">kirchliche Entwicklungszusammenarbeit </w:t>
      </w:r>
      <w:r w:rsidR="008049D1">
        <w:t xml:space="preserve">ist die Berufung auf CEDAW eine Chance. </w:t>
      </w:r>
      <w:r w:rsidR="00D13772">
        <w:t xml:space="preserve">Denn kirchliche Entwicklungszusammenarbeit steht in Partnerländern oft unter dem Verdacht, eine fremde Agenda zu verfolgen, die den angeblichen Interessen des Partnerlandes zuwiderläuft. </w:t>
      </w:r>
      <w:r w:rsidR="00667D0A">
        <w:t xml:space="preserve">Weil die Konvention einen überstaatlichen Maßstab statuiert, </w:t>
      </w:r>
      <w:r w:rsidR="00D13772">
        <w:t xml:space="preserve">bietet sie die Möglichkeit, </w:t>
      </w:r>
      <w:r w:rsidR="002C6271">
        <w:t xml:space="preserve">diesen Vorwurf zu widerlegen. Voraussetzung dafür ist, dass </w:t>
      </w:r>
      <w:r w:rsidR="00D13772">
        <w:t xml:space="preserve">das eigene entwicklungspolitische Engagement in den Dienst der Verwirklichung der Menschenrechte </w:t>
      </w:r>
      <w:r w:rsidR="002C6271">
        <w:t>ge</w:t>
      </w:r>
      <w:r w:rsidR="00D13772">
        <w:t>stell</w:t>
      </w:r>
      <w:r w:rsidR="002C6271">
        <w:t>t wird</w:t>
      </w:r>
      <w:r w:rsidR="00D13772">
        <w:t xml:space="preserve">. </w:t>
      </w:r>
      <w:r w:rsidR="002C6271">
        <w:t>Das verlangt eine Ausrichtung der eigenen Arbeit an den Menschenrechten, beginnend von der Projektplanung, die unter wirksamer Beteiligung der betroffenen Bevölkerung, einschließlich der Frauen, erfolgen muss, über die Projektausgestaltung, bei der die Bevölkerung maßgeblich mitwirken können muss, bis hin zur Zielsetzung, sich selbst langfristig überflüssig zu machen. Es verlangt auch die Schaffung von wirksamen Beschwerdemöglichkeiten für die Betroffenen bei behaupteter Verletzung ihrer Rechte. Dies alles verlangt, dass die Ausgestaltung von Projekten sich an Menschen als Inhabern von Rechten, nicht als Empfängern von milden Gaben, ausrichtet. Die solide Kenntnis von CEDAW ist insofern eine wichtige Hilfe.</w:t>
      </w:r>
    </w:p>
    <w:p w:rsidR="00EE706E" w:rsidRPr="00EE706E" w:rsidRDefault="00EE706E" w:rsidP="000A19C7">
      <w:pPr>
        <w:pStyle w:val="berschrift1"/>
      </w:pPr>
      <w:r>
        <w:t>Fazit</w:t>
      </w:r>
    </w:p>
    <w:p w:rsidR="00EE706E" w:rsidRPr="00AA314D" w:rsidRDefault="006F116D" w:rsidP="001F48EA">
      <w:r>
        <w:t xml:space="preserve">CEDAW </w:t>
      </w:r>
      <w:r w:rsidR="008049D1">
        <w:t>ist ein</w:t>
      </w:r>
      <w:r>
        <w:t xml:space="preserve"> </w:t>
      </w:r>
      <w:r w:rsidR="002C6271">
        <w:t xml:space="preserve">zentraler </w:t>
      </w:r>
      <w:r>
        <w:t>Referenzrahmen für (rechts-)politische Forderungen von Frauen</w:t>
      </w:r>
      <w:r w:rsidR="00AA09F2">
        <w:t xml:space="preserve"> weltweit</w:t>
      </w:r>
      <w:r w:rsidR="008049D1">
        <w:t xml:space="preserve">. Die rechtliche Verbindlichkeit von CEDAW gibt </w:t>
      </w:r>
      <w:r w:rsidR="00AA09F2">
        <w:t xml:space="preserve">ihren </w:t>
      </w:r>
      <w:r w:rsidR="008049D1">
        <w:t xml:space="preserve">Forderungen nach der Beseitigung von Diskriminierung und </w:t>
      </w:r>
      <w:r w:rsidR="00AA09F2">
        <w:t xml:space="preserve">auf </w:t>
      </w:r>
      <w:r w:rsidR="008049D1">
        <w:t xml:space="preserve">gleiche Rechte Legitimität. </w:t>
      </w:r>
      <w:r w:rsidR="00567514">
        <w:t xml:space="preserve">Denn </w:t>
      </w:r>
      <w:r w:rsidR="00B1065C">
        <w:t>CEDAW verpflichtet die Staaten zur Anpassung ihres Rechts, zum Schutz vor Rechtsbeeinträchtigungen durch soziale Kräfte und Privatpersonen, sowie zur Schaffung der Voraussetzungen, damit Frauen auch tatsächlich die gleiche Möglichkeit haben, ihre Rechte auszuüben. F</w:t>
      </w:r>
      <w:r>
        <w:t xml:space="preserve">ür </w:t>
      </w:r>
      <w:r w:rsidR="00B1065C">
        <w:t xml:space="preserve">die </w:t>
      </w:r>
      <w:r w:rsidR="008049D1">
        <w:t xml:space="preserve">kirchliche </w:t>
      </w:r>
      <w:r>
        <w:t>Entwicklungszusammenarbeit</w:t>
      </w:r>
      <w:r w:rsidR="00B1065C">
        <w:t xml:space="preserve"> ist CEDAW ein wichtiger Bezugspunkt, weil </w:t>
      </w:r>
      <w:r w:rsidR="00316C8C">
        <w:t xml:space="preserve">die Ausrichtung der eigenen Arbeit an CEDAW dem Vorwurf entgegenwirkt, es würde eine „westliche Agenda“ verfolgt oder </w:t>
      </w:r>
      <w:r w:rsidR="00667D0A">
        <w:t xml:space="preserve">es würden „fremde Werte“ aufoktroyiert. Das Engagement für die Menschenrechte von Frauen ist freilich nur glaubhaft, wenn nicht allein die Aspekte herausgegriffen werden, die mit den eigenen religiösen </w:t>
      </w:r>
      <w:r w:rsidR="00667D0A">
        <w:lastRenderedPageBreak/>
        <w:t>Wertvorstellungen übereinstimmen, sondern wenn es sich auf alle universellen Menschenrechte bezieht.</w:t>
      </w:r>
    </w:p>
    <w:sectPr w:rsidR="00EE706E" w:rsidRPr="00AA314D">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BF2" w:rsidRDefault="00E37BF2" w:rsidP="006A5E69">
      <w:pPr>
        <w:spacing w:after="0" w:line="240" w:lineRule="auto"/>
      </w:pPr>
      <w:r>
        <w:separator/>
      </w:r>
    </w:p>
  </w:endnote>
  <w:endnote w:type="continuationSeparator" w:id="0">
    <w:p w:rsidR="00E37BF2" w:rsidRDefault="00E37BF2" w:rsidP="006A5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584233"/>
      <w:docPartObj>
        <w:docPartGallery w:val="Page Numbers (Bottom of Page)"/>
        <w:docPartUnique/>
      </w:docPartObj>
    </w:sdtPr>
    <w:sdtEndPr/>
    <w:sdtContent>
      <w:p w:rsidR="00BE1B92" w:rsidRDefault="00BE1B92">
        <w:pPr>
          <w:pStyle w:val="Fuzeile"/>
          <w:jc w:val="center"/>
        </w:pPr>
        <w:r>
          <w:fldChar w:fldCharType="begin"/>
        </w:r>
        <w:r>
          <w:instrText>PAGE   \* MERGEFORMAT</w:instrText>
        </w:r>
        <w:r>
          <w:fldChar w:fldCharType="separate"/>
        </w:r>
        <w:r w:rsidR="000A19C7">
          <w:rPr>
            <w:noProof/>
          </w:rPr>
          <w:t>8</w:t>
        </w:r>
        <w:r>
          <w:fldChar w:fldCharType="end"/>
        </w:r>
      </w:p>
    </w:sdtContent>
  </w:sdt>
  <w:p w:rsidR="00BE1B92" w:rsidRDefault="00BE1B9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BF2" w:rsidRDefault="00E37BF2" w:rsidP="006A5E69">
      <w:pPr>
        <w:spacing w:after="0" w:line="240" w:lineRule="auto"/>
      </w:pPr>
      <w:r>
        <w:separator/>
      </w:r>
    </w:p>
  </w:footnote>
  <w:footnote w:type="continuationSeparator" w:id="0">
    <w:p w:rsidR="00E37BF2" w:rsidRDefault="00E37BF2" w:rsidP="006A5E69">
      <w:pPr>
        <w:spacing w:after="0" w:line="240" w:lineRule="auto"/>
      </w:pPr>
      <w:r>
        <w:continuationSeparator/>
      </w:r>
    </w:p>
  </w:footnote>
  <w:footnote w:id="1">
    <w:p w:rsidR="00BE1B92" w:rsidRPr="00DE59B2" w:rsidRDefault="00BE1B92" w:rsidP="006A5E69">
      <w:pPr>
        <w:pStyle w:val="Funotentext"/>
        <w:rPr>
          <w:rFonts w:ascii="Microsoft Sans Serif" w:hAnsi="Microsoft Sans Serif" w:cs="Microsoft Sans Serif"/>
        </w:rPr>
      </w:pPr>
      <w:r w:rsidRPr="00DE59B2">
        <w:rPr>
          <w:rStyle w:val="Funotenzeichen"/>
          <w:rFonts w:ascii="Microsoft Sans Serif" w:hAnsi="Microsoft Sans Serif" w:cs="Microsoft Sans Serif"/>
        </w:rPr>
        <w:footnoteRef/>
      </w:r>
      <w:r w:rsidRPr="00DE59B2">
        <w:rPr>
          <w:rFonts w:ascii="Microsoft Sans Serif" w:hAnsi="Microsoft Sans Serif" w:cs="Microsoft Sans Serif"/>
        </w:rPr>
        <w:t xml:space="preserve"> Prof. Dr. iur., Direktorin des Deutschen Instituts für Menschenrechte</w:t>
      </w:r>
      <w:r>
        <w:rPr>
          <w:rFonts w:ascii="Microsoft Sans Serif" w:hAnsi="Microsoft Sans Serif" w:cs="Microsoft Sans Serif"/>
        </w:rPr>
        <w:t xml:space="preserve"> (DIMR)</w:t>
      </w:r>
      <w:r w:rsidRPr="00DE59B2">
        <w:rPr>
          <w:rFonts w:ascii="Microsoft Sans Serif" w:hAnsi="Microsoft Sans Serif" w:cs="Microsoft Sans Serif"/>
        </w:rPr>
        <w:t xml:space="preserve">, Berlin. Das Institut ist die unabhängige Nationale Menschenrechtsinstitution Deutschlands entsprechend den Pariser Prinzipien der Vereinten Nationen. Es erfüllt seinen Auftrag –Förderung und Schutz von Menschenrechten in und durch Deutschland – durch wissenschaftliche Forschung, darauf basierende Politikberatung, Menschenrechtsbildung, Kooperation mit internationalen Menschenrechtsgremien sowie Information und Dokumentation. Mehr unter </w:t>
      </w:r>
      <w:hyperlink r:id="rId1" w:history="1">
        <w:r w:rsidRPr="00DE59B2">
          <w:rPr>
            <w:rStyle w:val="Hyperlink"/>
            <w:rFonts w:ascii="Microsoft Sans Serif" w:hAnsi="Microsoft Sans Serif" w:cs="Microsoft Sans Serif"/>
          </w:rPr>
          <w:t>www.institut-fuer-menschenrechte.de</w:t>
        </w:r>
      </w:hyperlink>
      <w:r w:rsidRPr="00DE59B2">
        <w:rPr>
          <w:rFonts w:ascii="Microsoft Sans Serif" w:hAnsi="Microsoft Sans Serif" w:cs="Microsoft Sans Serif"/>
        </w:rPr>
        <w:t>.</w:t>
      </w:r>
    </w:p>
  </w:footnote>
  <w:footnote w:id="2">
    <w:p w:rsidR="00835911" w:rsidRPr="009D4E39" w:rsidRDefault="00835911" w:rsidP="00835911">
      <w:pPr>
        <w:pStyle w:val="Funotentext"/>
        <w:rPr>
          <w:rFonts w:ascii="Microsoft Sans Serif" w:hAnsi="Microsoft Sans Serif" w:cs="Microsoft Sans Serif"/>
        </w:rPr>
      </w:pPr>
      <w:r w:rsidRPr="00347A01">
        <w:rPr>
          <w:rStyle w:val="Funotenzeichen"/>
          <w:rFonts w:ascii="Microsoft Sans Serif" w:hAnsi="Microsoft Sans Serif" w:cs="Microsoft Sans Serif"/>
        </w:rPr>
        <w:footnoteRef/>
      </w:r>
      <w:r w:rsidRPr="00347A01">
        <w:rPr>
          <w:rFonts w:ascii="Microsoft Sans Serif" w:hAnsi="Microsoft Sans Serif" w:cs="Microsoft Sans Serif"/>
        </w:rPr>
        <w:t xml:space="preserve"> </w:t>
      </w:r>
      <w:r>
        <w:rPr>
          <w:rFonts w:ascii="Microsoft Sans Serif" w:hAnsi="Microsoft Sans Serif" w:cs="Microsoft Sans Serif"/>
        </w:rPr>
        <w:t xml:space="preserve">Als Dimensionen aller Paktrechte formulierte der </w:t>
      </w:r>
      <w:r w:rsidR="00713CE9">
        <w:rPr>
          <w:rFonts w:ascii="Microsoft Sans Serif" w:hAnsi="Microsoft Sans Serif" w:cs="Microsoft Sans Serif"/>
        </w:rPr>
        <w:t>UN-</w:t>
      </w:r>
      <w:r>
        <w:rPr>
          <w:rFonts w:ascii="Microsoft Sans Serif" w:hAnsi="Microsoft Sans Serif" w:cs="Microsoft Sans Serif"/>
        </w:rPr>
        <w:t>Menschenrechtsausschuss d</w:t>
      </w:r>
      <w:r w:rsidRPr="009D4E39">
        <w:rPr>
          <w:rFonts w:ascii="Microsoft Sans Serif" w:hAnsi="Microsoft Sans Serif" w:cs="Microsoft Sans Serif"/>
        </w:rPr>
        <w:t xml:space="preserve">ie Pflichtentrias „to </w:t>
      </w:r>
      <w:r w:rsidRPr="00B757C1">
        <w:rPr>
          <w:rFonts w:ascii="Microsoft Sans Serif" w:hAnsi="Microsoft Sans Serif" w:cs="Microsoft Sans Serif"/>
        </w:rPr>
        <w:t>respect, protect, and fulfil</w:t>
      </w:r>
      <w:r w:rsidRPr="009D4E39">
        <w:rPr>
          <w:rFonts w:ascii="Microsoft Sans Serif" w:hAnsi="Microsoft Sans Serif" w:cs="Microsoft Sans Serif"/>
        </w:rPr>
        <w:t xml:space="preserve">“ </w:t>
      </w:r>
      <w:r>
        <w:rPr>
          <w:rFonts w:ascii="Microsoft Sans Serif" w:hAnsi="Microsoft Sans Serif" w:cs="Microsoft Sans Serif"/>
        </w:rPr>
        <w:t xml:space="preserve">erst in </w:t>
      </w:r>
      <w:r w:rsidRPr="009D4E39">
        <w:rPr>
          <w:rFonts w:ascii="Microsoft Sans Serif" w:hAnsi="Microsoft Sans Serif" w:cs="Microsoft Sans Serif"/>
        </w:rPr>
        <w:t>der Allg</w:t>
      </w:r>
      <w:r>
        <w:rPr>
          <w:rFonts w:ascii="Microsoft Sans Serif" w:hAnsi="Microsoft Sans Serif" w:cs="Microsoft Sans Serif"/>
        </w:rPr>
        <w:t>e</w:t>
      </w:r>
      <w:r w:rsidRPr="009D4E39">
        <w:rPr>
          <w:rFonts w:ascii="Microsoft Sans Serif" w:hAnsi="Microsoft Sans Serif" w:cs="Microsoft Sans Serif"/>
        </w:rPr>
        <w:t xml:space="preserve">meinen </w:t>
      </w:r>
      <w:r>
        <w:rPr>
          <w:rFonts w:ascii="Microsoft Sans Serif" w:hAnsi="Microsoft Sans Serif" w:cs="Microsoft Sans Serif"/>
        </w:rPr>
        <w:t>Bemerkung</w:t>
      </w:r>
      <w:r w:rsidRPr="009D4E39">
        <w:rPr>
          <w:rFonts w:ascii="Microsoft Sans Serif" w:hAnsi="Microsoft Sans Serif" w:cs="Microsoft Sans Serif"/>
        </w:rPr>
        <w:t xml:space="preserve"> </w:t>
      </w:r>
      <w:r>
        <w:rPr>
          <w:rFonts w:ascii="Microsoft Sans Serif" w:hAnsi="Microsoft Sans Serif" w:cs="Microsoft Sans Serif"/>
        </w:rPr>
        <w:t>Nr. 31 (Die Rechtsnatur der Paktverpflichtungen) (2004), DIMR, Die „General Comments“, S. 153-159, §§ 6-8.</w:t>
      </w:r>
    </w:p>
  </w:footnote>
  <w:footnote w:id="3">
    <w:p w:rsidR="00015128" w:rsidRPr="001F48EA" w:rsidRDefault="00015128">
      <w:pPr>
        <w:pStyle w:val="Funotentext"/>
        <w:rPr>
          <w:rFonts w:ascii="Microsoft Sans Serif" w:hAnsi="Microsoft Sans Serif" w:cs="Microsoft Sans Serif"/>
          <w:lang w:val="en-US"/>
        </w:rPr>
      </w:pPr>
      <w:r w:rsidRPr="00015128">
        <w:rPr>
          <w:rStyle w:val="Funotenzeichen"/>
          <w:rFonts w:ascii="Microsoft Sans Serif" w:hAnsi="Microsoft Sans Serif" w:cs="Microsoft Sans Serif"/>
        </w:rPr>
        <w:footnoteRef/>
      </w:r>
      <w:r w:rsidRPr="00015128">
        <w:rPr>
          <w:rFonts w:ascii="Microsoft Sans Serif" w:hAnsi="Microsoft Sans Serif" w:cs="Microsoft Sans Serif"/>
        </w:rPr>
        <w:t xml:space="preserve"> Siehe </w:t>
      </w:r>
      <w:r>
        <w:rPr>
          <w:rFonts w:ascii="Microsoft Sans Serif" w:hAnsi="Microsoft Sans Serif" w:cs="Microsoft Sans Serif"/>
        </w:rPr>
        <w:t>CEDAW-Ausschuss, Allgemeine Empfehlung Nr. 24 (Frauen und Gesundheit) (1999), in: DIMR (Fn. </w:t>
      </w:r>
      <w:r>
        <w:rPr>
          <w:rFonts w:ascii="Microsoft Sans Serif" w:hAnsi="Microsoft Sans Serif" w:cs="Microsoft Sans Serif"/>
        </w:rPr>
        <w:fldChar w:fldCharType="begin"/>
      </w:r>
      <w:r>
        <w:rPr>
          <w:rFonts w:ascii="Microsoft Sans Serif" w:hAnsi="Microsoft Sans Serif" w:cs="Microsoft Sans Serif"/>
        </w:rPr>
        <w:instrText xml:space="preserve"> NOTEREF _Ref375650657 \h </w:instrText>
      </w:r>
      <w:r>
        <w:rPr>
          <w:rFonts w:ascii="Microsoft Sans Serif" w:hAnsi="Microsoft Sans Serif" w:cs="Microsoft Sans Serif"/>
        </w:rPr>
      </w:r>
      <w:r>
        <w:rPr>
          <w:rFonts w:ascii="Microsoft Sans Serif" w:hAnsi="Microsoft Sans Serif" w:cs="Microsoft Sans Serif"/>
        </w:rPr>
        <w:fldChar w:fldCharType="separate"/>
      </w:r>
      <w:r w:rsidRPr="00015128">
        <w:rPr>
          <w:rFonts w:ascii="Microsoft Sans Serif" w:hAnsi="Microsoft Sans Serif" w:cs="Microsoft Sans Serif"/>
          <w:lang w:val="en-US"/>
        </w:rPr>
        <w:t>2</w:t>
      </w:r>
      <w:r>
        <w:rPr>
          <w:rFonts w:ascii="Microsoft Sans Serif" w:hAnsi="Microsoft Sans Serif" w:cs="Microsoft Sans Serif"/>
        </w:rPr>
        <w:fldChar w:fldCharType="end"/>
      </w:r>
      <w:r w:rsidRPr="00015128">
        <w:rPr>
          <w:rFonts w:ascii="Microsoft Sans Serif" w:hAnsi="Microsoft Sans Serif" w:cs="Microsoft Sans Serif"/>
          <w:lang w:val="en-US"/>
        </w:rPr>
        <w:t xml:space="preserve">) und eingehend: </w:t>
      </w:r>
      <w:r w:rsidRPr="00AC1148">
        <w:rPr>
          <w:rFonts w:ascii="Microsoft Sans Serif" w:hAnsi="Microsoft Sans Serif" w:cs="Microsoft Sans Serif"/>
          <w:i/>
          <w:lang w:val="en-US"/>
        </w:rPr>
        <w:t>Rebecca Cook</w:t>
      </w:r>
      <w:r w:rsidRPr="00015128">
        <w:rPr>
          <w:rFonts w:ascii="Microsoft Sans Serif" w:hAnsi="Microsoft Sans Serif" w:cs="Microsoft Sans Serif"/>
          <w:lang w:val="en-US"/>
        </w:rPr>
        <w:t xml:space="preserve">, </w:t>
      </w:r>
      <w:r w:rsidR="00ED4717">
        <w:rPr>
          <w:rFonts w:ascii="Microsoft Sans Serif" w:hAnsi="Microsoft Sans Serif" w:cs="Microsoft Sans Serif"/>
          <w:lang w:val="en-US"/>
        </w:rPr>
        <w:t xml:space="preserve">Article 12, </w:t>
      </w:r>
      <w:r w:rsidRPr="00AC1148">
        <w:rPr>
          <w:rFonts w:ascii="Microsoft Sans Serif" w:hAnsi="Microsoft Sans Serif" w:cs="Microsoft Sans Serif"/>
          <w:lang w:val="en-US"/>
        </w:rPr>
        <w:t xml:space="preserve">in </w:t>
      </w:r>
      <w:r w:rsidR="00AC1148" w:rsidRPr="00AC1148">
        <w:rPr>
          <w:rFonts w:ascii="Microsoft Sans Serif" w:hAnsi="Microsoft Sans Serif" w:cs="Microsoft Sans Serif"/>
          <w:i/>
          <w:lang w:val="en-US"/>
        </w:rPr>
        <w:t xml:space="preserve">Marsha A. </w:t>
      </w:r>
      <w:r w:rsidRPr="00AC1148">
        <w:rPr>
          <w:rFonts w:ascii="Microsoft Sans Serif" w:hAnsi="Microsoft Sans Serif" w:cs="Microsoft Sans Serif"/>
          <w:i/>
          <w:lang w:val="en-US"/>
        </w:rPr>
        <w:t>Freeman</w:t>
      </w:r>
      <w:r w:rsidR="00AC1148" w:rsidRPr="00AC1148">
        <w:rPr>
          <w:rFonts w:ascii="Microsoft Sans Serif" w:hAnsi="Microsoft Sans Serif" w:cs="Microsoft Sans Serif"/>
          <w:i/>
          <w:lang w:val="en-US"/>
        </w:rPr>
        <w:t xml:space="preserve"> </w:t>
      </w:r>
      <w:r w:rsidRPr="00AC1148">
        <w:rPr>
          <w:rFonts w:ascii="Microsoft Sans Serif" w:hAnsi="Microsoft Sans Serif" w:cs="Microsoft Sans Serif"/>
          <w:i/>
          <w:lang w:val="en-US"/>
        </w:rPr>
        <w:t>/</w:t>
      </w:r>
      <w:r w:rsidR="00AC1148" w:rsidRPr="00AC1148">
        <w:rPr>
          <w:rFonts w:ascii="Microsoft Sans Serif" w:hAnsi="Microsoft Sans Serif" w:cs="Microsoft Sans Serif"/>
          <w:i/>
          <w:lang w:val="en-US"/>
        </w:rPr>
        <w:t xml:space="preserve"> Christine </w:t>
      </w:r>
      <w:r w:rsidRPr="00AC1148">
        <w:rPr>
          <w:rFonts w:ascii="Microsoft Sans Serif" w:hAnsi="Microsoft Sans Serif" w:cs="Microsoft Sans Serif"/>
          <w:i/>
          <w:lang w:val="en-US"/>
        </w:rPr>
        <w:t>Chinkin</w:t>
      </w:r>
      <w:r w:rsidR="00AC1148" w:rsidRPr="00AC1148">
        <w:rPr>
          <w:rFonts w:ascii="Microsoft Sans Serif" w:hAnsi="Microsoft Sans Serif" w:cs="Microsoft Sans Serif"/>
          <w:i/>
          <w:lang w:val="en-US"/>
        </w:rPr>
        <w:t xml:space="preserve"> </w:t>
      </w:r>
      <w:r w:rsidRPr="00AC1148">
        <w:rPr>
          <w:rFonts w:ascii="Microsoft Sans Serif" w:hAnsi="Microsoft Sans Serif" w:cs="Microsoft Sans Serif"/>
          <w:i/>
          <w:lang w:val="en-US"/>
        </w:rPr>
        <w:t>/</w:t>
      </w:r>
      <w:r w:rsidR="00AC1148" w:rsidRPr="00AC1148">
        <w:rPr>
          <w:rFonts w:ascii="Microsoft Sans Serif" w:hAnsi="Microsoft Sans Serif" w:cs="Microsoft Sans Serif"/>
          <w:i/>
          <w:lang w:val="en-US"/>
        </w:rPr>
        <w:t xml:space="preserve"> Beate </w:t>
      </w:r>
      <w:r w:rsidRPr="00AC1148">
        <w:rPr>
          <w:rFonts w:ascii="Microsoft Sans Serif" w:hAnsi="Microsoft Sans Serif" w:cs="Microsoft Sans Serif"/>
          <w:i/>
          <w:lang w:val="en-US"/>
        </w:rPr>
        <w:t>Rudolf</w:t>
      </w:r>
      <w:r w:rsidRPr="00015128">
        <w:rPr>
          <w:rFonts w:ascii="Microsoft Sans Serif" w:hAnsi="Microsoft Sans Serif" w:cs="Microsoft Sans Serif"/>
          <w:lang w:val="en-US"/>
        </w:rPr>
        <w:t xml:space="preserve"> (Hg.), CEDAW. </w:t>
      </w:r>
      <w:r w:rsidRPr="001F48EA">
        <w:rPr>
          <w:rFonts w:ascii="Microsoft Sans Serif" w:hAnsi="Microsoft Sans Serif" w:cs="Microsoft Sans Serif"/>
          <w:lang w:val="en-US"/>
        </w:rPr>
        <w:t>A. Commentary, 2012, Art. 12, S. 311</w:t>
      </w:r>
      <w:r w:rsidRPr="001F48EA">
        <w:rPr>
          <w:rFonts w:ascii="Microsoft Sans Serif" w:hAnsi="Microsoft Sans Serif" w:cs="Microsoft Sans Serif"/>
          <w:lang w:val="en-US"/>
        </w:rPr>
        <w:noBreakHyphen/>
        <w:t>324.</w:t>
      </w:r>
    </w:p>
  </w:footnote>
  <w:footnote w:id="4">
    <w:p w:rsidR="007715CD" w:rsidRPr="001F48EA" w:rsidRDefault="007715CD">
      <w:pPr>
        <w:pStyle w:val="Funotentext"/>
        <w:rPr>
          <w:rFonts w:ascii="Microsoft Sans Serif" w:hAnsi="Microsoft Sans Serif" w:cs="Microsoft Sans Serif"/>
          <w:lang w:val="en-US"/>
        </w:rPr>
      </w:pPr>
      <w:r w:rsidRPr="007715CD">
        <w:rPr>
          <w:rStyle w:val="Funotenzeichen"/>
          <w:rFonts w:ascii="Microsoft Sans Serif" w:hAnsi="Microsoft Sans Serif" w:cs="Microsoft Sans Serif"/>
        </w:rPr>
        <w:footnoteRef/>
      </w:r>
      <w:r w:rsidRPr="007715CD">
        <w:rPr>
          <w:rFonts w:ascii="Microsoft Sans Serif" w:hAnsi="Microsoft Sans Serif" w:cs="Microsoft Sans Serif"/>
          <w:lang w:val="en-US"/>
        </w:rPr>
        <w:t xml:space="preserve"> </w:t>
      </w:r>
      <w:r>
        <w:rPr>
          <w:rFonts w:ascii="Microsoft Sans Serif" w:hAnsi="Microsoft Sans Serif" w:cs="Microsoft Sans Serif"/>
          <w:lang w:val="en-US"/>
        </w:rPr>
        <w:t xml:space="preserve">Ausführlich: </w:t>
      </w:r>
      <w:r w:rsidRPr="00AC1148">
        <w:rPr>
          <w:rFonts w:ascii="Microsoft Sans Serif" w:hAnsi="Microsoft Sans Serif" w:cs="Microsoft Sans Serif"/>
          <w:i/>
          <w:lang w:val="en-US"/>
        </w:rPr>
        <w:t>Fareda Banda</w:t>
      </w:r>
      <w:r w:rsidRPr="007715CD">
        <w:rPr>
          <w:rFonts w:ascii="Microsoft Sans Serif" w:hAnsi="Microsoft Sans Serif" w:cs="Microsoft Sans Serif"/>
          <w:lang w:val="en-US"/>
        </w:rPr>
        <w:t xml:space="preserve">, Article 10, in: </w:t>
      </w:r>
      <w:r w:rsidRPr="00AC1148">
        <w:rPr>
          <w:rFonts w:ascii="Microsoft Sans Serif" w:hAnsi="Microsoft Sans Serif" w:cs="Microsoft Sans Serif"/>
          <w:i/>
          <w:lang w:val="en-US"/>
        </w:rPr>
        <w:t>Freeman/Chinkin/Rudolf</w:t>
      </w:r>
      <w:r w:rsidRPr="007715CD">
        <w:rPr>
          <w:rFonts w:ascii="Microsoft Sans Serif" w:hAnsi="Microsoft Sans Serif" w:cs="Microsoft Sans Serif"/>
          <w:lang w:val="en-US"/>
        </w:rPr>
        <w:t xml:space="preserve"> (Fn.</w:t>
      </w:r>
      <w:r>
        <w:rPr>
          <w:rFonts w:ascii="Microsoft Sans Serif" w:hAnsi="Microsoft Sans Serif" w:cs="Microsoft Sans Serif"/>
          <w:lang w:val="en-US"/>
        </w:rPr>
        <w:t> </w:t>
      </w:r>
      <w:r>
        <w:rPr>
          <w:rFonts w:ascii="Microsoft Sans Serif" w:hAnsi="Microsoft Sans Serif" w:cs="Microsoft Sans Serif"/>
        </w:rPr>
        <w:fldChar w:fldCharType="begin"/>
      </w:r>
      <w:r w:rsidRPr="007715CD">
        <w:rPr>
          <w:rFonts w:ascii="Microsoft Sans Serif" w:hAnsi="Microsoft Sans Serif" w:cs="Microsoft Sans Serif"/>
          <w:lang w:val="en-US"/>
        </w:rPr>
        <w:instrText xml:space="preserve"> NOTEREF _Ref375651497 \h </w:instrText>
      </w:r>
      <w:r>
        <w:rPr>
          <w:rFonts w:ascii="Microsoft Sans Serif" w:hAnsi="Microsoft Sans Serif" w:cs="Microsoft Sans Serif"/>
        </w:rPr>
      </w:r>
      <w:r>
        <w:rPr>
          <w:rFonts w:ascii="Microsoft Sans Serif" w:hAnsi="Microsoft Sans Serif" w:cs="Microsoft Sans Serif"/>
        </w:rPr>
        <w:fldChar w:fldCharType="separate"/>
      </w:r>
      <w:r w:rsidRPr="001F48EA">
        <w:rPr>
          <w:rFonts w:ascii="Microsoft Sans Serif" w:hAnsi="Microsoft Sans Serif" w:cs="Microsoft Sans Serif"/>
          <w:lang w:val="en-US"/>
        </w:rPr>
        <w:t>3</w:t>
      </w:r>
      <w:r>
        <w:rPr>
          <w:rFonts w:ascii="Microsoft Sans Serif" w:hAnsi="Microsoft Sans Serif" w:cs="Microsoft Sans Serif"/>
        </w:rPr>
        <w:fldChar w:fldCharType="end"/>
      </w:r>
      <w:r w:rsidRPr="001F48EA">
        <w:rPr>
          <w:rFonts w:ascii="Microsoft Sans Serif" w:hAnsi="Microsoft Sans Serif" w:cs="Microsoft Sans Serif"/>
          <w:lang w:val="en-US"/>
        </w:rPr>
        <w:t>), 253-278.</w:t>
      </w:r>
    </w:p>
  </w:footnote>
  <w:footnote w:id="5">
    <w:p w:rsidR="00BE1B92" w:rsidRPr="00C21BE5" w:rsidRDefault="00BE1B92" w:rsidP="00AA314D">
      <w:pPr>
        <w:pStyle w:val="Funotentext"/>
        <w:rPr>
          <w:rFonts w:ascii="Microsoft Sans Serif" w:hAnsi="Microsoft Sans Serif" w:cs="Microsoft Sans Serif"/>
        </w:rPr>
      </w:pPr>
      <w:r w:rsidRPr="00767F69">
        <w:rPr>
          <w:rStyle w:val="Funotenzeichen"/>
          <w:rFonts w:ascii="Microsoft Sans Serif" w:hAnsi="Microsoft Sans Serif" w:cs="Microsoft Sans Serif"/>
        </w:rPr>
        <w:footnoteRef/>
      </w:r>
      <w:r w:rsidRPr="001F48EA">
        <w:rPr>
          <w:rFonts w:ascii="Microsoft Sans Serif" w:hAnsi="Microsoft Sans Serif" w:cs="Microsoft Sans Serif"/>
          <w:lang w:val="en-US"/>
        </w:rPr>
        <w:t xml:space="preserve"> Hierzu eingehend: </w:t>
      </w:r>
      <w:r w:rsidRPr="001F48EA">
        <w:rPr>
          <w:rFonts w:ascii="Microsoft Sans Serif" w:hAnsi="Microsoft Sans Serif" w:cs="Microsoft Sans Serif"/>
          <w:i/>
          <w:lang w:val="en-US"/>
        </w:rPr>
        <w:t>Rikki Holtmaat</w:t>
      </w:r>
      <w:r w:rsidRPr="001F48EA">
        <w:rPr>
          <w:rFonts w:ascii="Microsoft Sans Serif" w:hAnsi="Microsoft Sans Serif" w:cs="Microsoft Sans Serif"/>
          <w:lang w:val="en-US"/>
        </w:rPr>
        <w:t>,</w:t>
      </w:r>
      <w:r w:rsidR="00ED4717" w:rsidRPr="001F48EA">
        <w:rPr>
          <w:rFonts w:ascii="Microsoft Sans Serif" w:hAnsi="Microsoft Sans Serif" w:cs="Microsoft Sans Serif"/>
          <w:lang w:val="en-US"/>
        </w:rPr>
        <w:t xml:space="preserve"> Article 5,</w:t>
      </w:r>
      <w:r w:rsidRPr="001F48EA">
        <w:rPr>
          <w:rFonts w:ascii="Microsoft Sans Serif" w:hAnsi="Microsoft Sans Serif" w:cs="Microsoft Sans Serif"/>
          <w:lang w:val="en-US"/>
        </w:rPr>
        <w:t xml:space="preserve"> in </w:t>
      </w:r>
      <w:r w:rsidRPr="001F48EA">
        <w:rPr>
          <w:rFonts w:ascii="Microsoft Sans Serif" w:hAnsi="Microsoft Sans Serif" w:cs="Microsoft Sans Serif"/>
          <w:i/>
          <w:lang w:val="en-US"/>
        </w:rPr>
        <w:t>Freeman/Chinkin/Rudolf</w:t>
      </w:r>
      <w:r w:rsidRPr="001F48EA">
        <w:rPr>
          <w:rFonts w:ascii="Microsoft Sans Serif" w:hAnsi="Microsoft Sans Serif" w:cs="Microsoft Sans Serif"/>
          <w:lang w:val="en-US"/>
        </w:rPr>
        <w:t xml:space="preserve"> (</w:t>
      </w:r>
      <w:r w:rsidR="00ED4717" w:rsidRPr="001F48EA">
        <w:rPr>
          <w:rFonts w:ascii="Microsoft Sans Serif" w:hAnsi="Microsoft Sans Serif" w:cs="Microsoft Sans Serif"/>
          <w:lang w:val="en-US"/>
        </w:rPr>
        <w:t>Fn. </w:t>
      </w:r>
      <w:r w:rsidR="00ED4717">
        <w:rPr>
          <w:rFonts w:ascii="Microsoft Sans Serif" w:hAnsi="Microsoft Sans Serif" w:cs="Microsoft Sans Serif"/>
        </w:rPr>
        <w:fldChar w:fldCharType="begin"/>
      </w:r>
      <w:r w:rsidR="00ED4717" w:rsidRPr="001F48EA">
        <w:rPr>
          <w:rFonts w:ascii="Microsoft Sans Serif" w:hAnsi="Microsoft Sans Serif" w:cs="Microsoft Sans Serif"/>
          <w:lang w:val="en-US"/>
        </w:rPr>
        <w:instrText xml:space="preserve"> NOTEREF _Ref375651497 \h </w:instrText>
      </w:r>
      <w:r w:rsidR="00ED4717">
        <w:rPr>
          <w:rFonts w:ascii="Microsoft Sans Serif" w:hAnsi="Microsoft Sans Serif" w:cs="Microsoft Sans Serif"/>
        </w:rPr>
      </w:r>
      <w:r w:rsidR="00ED4717">
        <w:rPr>
          <w:rFonts w:ascii="Microsoft Sans Serif" w:hAnsi="Microsoft Sans Serif" w:cs="Microsoft Sans Serif"/>
        </w:rPr>
        <w:fldChar w:fldCharType="separate"/>
      </w:r>
      <w:r w:rsidR="00ED4717">
        <w:rPr>
          <w:rFonts w:ascii="Microsoft Sans Serif" w:hAnsi="Microsoft Sans Serif" w:cs="Microsoft Sans Serif"/>
        </w:rPr>
        <w:t>3</w:t>
      </w:r>
      <w:r w:rsidR="00ED4717">
        <w:rPr>
          <w:rFonts w:ascii="Microsoft Sans Serif" w:hAnsi="Microsoft Sans Serif" w:cs="Microsoft Sans Serif"/>
        </w:rPr>
        <w:fldChar w:fldCharType="end"/>
      </w:r>
      <w:r w:rsidR="00ED4717">
        <w:rPr>
          <w:rFonts w:ascii="Microsoft Sans Serif" w:hAnsi="Microsoft Sans Serif" w:cs="Microsoft Sans Serif"/>
        </w:rPr>
        <w:t>)</w:t>
      </w:r>
      <w:r>
        <w:rPr>
          <w:rFonts w:ascii="Microsoft Sans Serif" w:hAnsi="Microsoft Sans Serif" w:cs="Microsoft Sans Serif"/>
        </w:rPr>
        <w:t>,</w:t>
      </w:r>
      <w:r w:rsidRPr="00C21BE5">
        <w:rPr>
          <w:rFonts w:ascii="Microsoft Sans Serif" w:hAnsi="Microsoft Sans Serif" w:cs="Microsoft Sans Serif"/>
        </w:rPr>
        <w:t xml:space="preserve"> S. </w:t>
      </w:r>
      <w:r>
        <w:rPr>
          <w:rFonts w:ascii="Microsoft Sans Serif" w:hAnsi="Microsoft Sans Serif" w:cs="Microsoft Sans Serif"/>
        </w:rPr>
        <w:t>141</w:t>
      </w:r>
      <w:r>
        <w:rPr>
          <w:rFonts w:ascii="Microsoft Sans Serif" w:hAnsi="Microsoft Sans Serif" w:cs="Microsoft Sans Serif"/>
        </w:rPr>
        <w:noBreakHyphen/>
        <w:t>167</w:t>
      </w:r>
      <w:r w:rsidRPr="00C21BE5">
        <w:rPr>
          <w:rFonts w:ascii="Microsoft Sans Serif" w:hAnsi="Microsoft Sans Serif" w:cs="Microsoft Sans Serif"/>
        </w:rPr>
        <w:t>.</w:t>
      </w:r>
    </w:p>
  </w:footnote>
  <w:footnote w:id="6">
    <w:p w:rsidR="00BE1B92" w:rsidRPr="00DE59B2" w:rsidRDefault="00BE1B92" w:rsidP="00B51026">
      <w:pPr>
        <w:pStyle w:val="Funotentext"/>
        <w:rPr>
          <w:rFonts w:ascii="Microsoft Sans Serif" w:hAnsi="Microsoft Sans Serif" w:cs="Microsoft Sans Serif"/>
        </w:rPr>
      </w:pPr>
      <w:r w:rsidRPr="00DE59B2">
        <w:rPr>
          <w:rStyle w:val="Funotenzeichen"/>
          <w:rFonts w:ascii="Microsoft Sans Serif" w:hAnsi="Microsoft Sans Serif" w:cs="Microsoft Sans Serif"/>
        </w:rPr>
        <w:footnoteRef/>
      </w:r>
      <w:r w:rsidRPr="00DE59B2">
        <w:rPr>
          <w:rFonts w:ascii="Microsoft Sans Serif" w:hAnsi="Microsoft Sans Serif" w:cs="Microsoft Sans Serif"/>
        </w:rPr>
        <w:t xml:space="preserve"> Erklärung der UN-Generalversammlung über die Beseitigung von Gewalt gegen Frauen, Res. 48/104, 6. Erwägungsgrund, UN Dok. A/48/49 (1993), S. 217.</w:t>
      </w:r>
    </w:p>
  </w:footnote>
  <w:footnote w:id="7">
    <w:p w:rsidR="00BE1B92" w:rsidRPr="00ED4717" w:rsidRDefault="00BE1B92" w:rsidP="00B963B3">
      <w:pPr>
        <w:pStyle w:val="Funotentext"/>
        <w:rPr>
          <w:rFonts w:ascii="Microsoft Sans Serif" w:hAnsi="Microsoft Sans Serif" w:cs="Microsoft Sans Serif"/>
          <w:lang w:val="en-US"/>
        </w:rPr>
      </w:pPr>
      <w:r w:rsidRPr="00347A01">
        <w:rPr>
          <w:rStyle w:val="Funotenzeichen"/>
          <w:rFonts w:ascii="Microsoft Sans Serif" w:hAnsi="Microsoft Sans Serif" w:cs="Microsoft Sans Serif"/>
        </w:rPr>
        <w:footnoteRef/>
      </w:r>
      <w:r w:rsidRPr="00347A01">
        <w:rPr>
          <w:rFonts w:ascii="Microsoft Sans Serif" w:hAnsi="Microsoft Sans Serif" w:cs="Microsoft Sans Serif"/>
        </w:rPr>
        <w:t xml:space="preserve"> Allgemeine Empfehlung Nr. 19 (</w:t>
      </w:r>
      <w:r>
        <w:rPr>
          <w:rFonts w:ascii="Microsoft Sans Serif" w:hAnsi="Microsoft Sans Serif" w:cs="Microsoft Sans Serif"/>
        </w:rPr>
        <w:t>Gewalt gegen Frauen</w:t>
      </w:r>
      <w:r w:rsidRPr="00347A01">
        <w:rPr>
          <w:rFonts w:ascii="Microsoft Sans Serif" w:hAnsi="Microsoft Sans Serif" w:cs="Microsoft Sans Serif"/>
        </w:rPr>
        <w:t>)</w:t>
      </w:r>
      <w:r>
        <w:rPr>
          <w:rFonts w:ascii="Microsoft Sans Serif" w:hAnsi="Microsoft Sans Serif" w:cs="Microsoft Sans Serif"/>
        </w:rPr>
        <w:t xml:space="preserve"> (1992)</w:t>
      </w:r>
      <w:r w:rsidRPr="00347A01">
        <w:rPr>
          <w:rFonts w:ascii="Microsoft Sans Serif" w:hAnsi="Microsoft Sans Serif" w:cs="Microsoft Sans Serif"/>
        </w:rPr>
        <w:t>, in: DIMR</w:t>
      </w:r>
      <w:r>
        <w:rPr>
          <w:rFonts w:ascii="Microsoft Sans Serif" w:hAnsi="Microsoft Sans Serif" w:cs="Microsoft Sans Serif"/>
        </w:rPr>
        <w:t xml:space="preserve"> (</w:t>
      </w:r>
      <w:r w:rsidR="00ED4717">
        <w:rPr>
          <w:rFonts w:ascii="Microsoft Sans Serif" w:hAnsi="Microsoft Sans Serif" w:cs="Microsoft Sans Serif"/>
        </w:rPr>
        <w:t>Fn. </w:t>
      </w:r>
      <w:r w:rsidR="00ED4717">
        <w:rPr>
          <w:rFonts w:ascii="Microsoft Sans Serif" w:hAnsi="Microsoft Sans Serif" w:cs="Microsoft Sans Serif"/>
        </w:rPr>
        <w:fldChar w:fldCharType="begin"/>
      </w:r>
      <w:r w:rsidR="00ED4717">
        <w:rPr>
          <w:rFonts w:ascii="Microsoft Sans Serif" w:hAnsi="Microsoft Sans Serif" w:cs="Microsoft Sans Serif"/>
        </w:rPr>
        <w:instrText xml:space="preserve"> NOTEREF _Ref375650657 \h </w:instrText>
      </w:r>
      <w:r w:rsidR="00ED4717">
        <w:rPr>
          <w:rFonts w:ascii="Microsoft Sans Serif" w:hAnsi="Microsoft Sans Serif" w:cs="Microsoft Sans Serif"/>
        </w:rPr>
      </w:r>
      <w:r w:rsidR="00ED4717">
        <w:rPr>
          <w:rFonts w:ascii="Microsoft Sans Serif" w:hAnsi="Microsoft Sans Serif" w:cs="Microsoft Sans Serif"/>
        </w:rPr>
        <w:fldChar w:fldCharType="separate"/>
      </w:r>
      <w:r w:rsidR="00ED4717" w:rsidRPr="00ED4717">
        <w:rPr>
          <w:rFonts w:ascii="Microsoft Sans Serif" w:hAnsi="Microsoft Sans Serif" w:cs="Microsoft Sans Serif"/>
          <w:lang w:val="en-US"/>
        </w:rPr>
        <w:t>2</w:t>
      </w:r>
      <w:r w:rsidR="00ED4717">
        <w:rPr>
          <w:rFonts w:ascii="Microsoft Sans Serif" w:hAnsi="Microsoft Sans Serif" w:cs="Microsoft Sans Serif"/>
        </w:rPr>
        <w:fldChar w:fldCharType="end"/>
      </w:r>
      <w:r w:rsidR="00ED4717" w:rsidRPr="00ED4717">
        <w:rPr>
          <w:rFonts w:ascii="Microsoft Sans Serif" w:hAnsi="Microsoft Sans Serif" w:cs="Microsoft Sans Serif"/>
          <w:lang w:val="en-US"/>
        </w:rPr>
        <w:t>)</w:t>
      </w:r>
      <w:r w:rsidRPr="00ED4717">
        <w:rPr>
          <w:rFonts w:ascii="Microsoft Sans Serif" w:hAnsi="Microsoft Sans Serif" w:cs="Microsoft Sans Serif"/>
          <w:lang w:val="en-US"/>
        </w:rPr>
        <w:t>, S. 449</w:t>
      </w:r>
      <w:r w:rsidR="00942970">
        <w:rPr>
          <w:rFonts w:ascii="Microsoft Sans Serif" w:hAnsi="Microsoft Sans Serif" w:cs="Microsoft Sans Serif"/>
          <w:lang w:val="en-US"/>
        </w:rPr>
        <w:noBreakHyphen/>
      </w:r>
      <w:r w:rsidRPr="00ED4717">
        <w:rPr>
          <w:rFonts w:ascii="Microsoft Sans Serif" w:hAnsi="Microsoft Sans Serif" w:cs="Microsoft Sans Serif"/>
          <w:lang w:val="en-US"/>
        </w:rPr>
        <w:t xml:space="preserve">457. </w:t>
      </w:r>
      <w:r w:rsidRPr="00ED4717">
        <w:rPr>
          <w:rFonts w:ascii="Microsoft Sans Serif" w:hAnsi="Microsoft Sans Serif" w:cs="Microsoft Sans Serif"/>
          <w:i/>
          <w:lang w:val="en-US"/>
        </w:rPr>
        <w:t>Christine Chinkin</w:t>
      </w:r>
      <w:r w:rsidRPr="00ED4717">
        <w:rPr>
          <w:rFonts w:ascii="Microsoft Sans Serif" w:hAnsi="Microsoft Sans Serif" w:cs="Microsoft Sans Serif"/>
          <w:lang w:val="en-US"/>
        </w:rPr>
        <w:t xml:space="preserve">, Violence against Women, in: </w:t>
      </w:r>
      <w:r w:rsidRPr="00AC1148">
        <w:rPr>
          <w:rFonts w:ascii="Microsoft Sans Serif" w:hAnsi="Microsoft Sans Serif" w:cs="Microsoft Sans Serif"/>
          <w:i/>
          <w:lang w:val="en-US"/>
        </w:rPr>
        <w:t>Freeman/Chinkin/Rudolf</w:t>
      </w:r>
      <w:r w:rsidRPr="00ED4717">
        <w:rPr>
          <w:rFonts w:ascii="Microsoft Sans Serif" w:hAnsi="Microsoft Sans Serif" w:cs="Microsoft Sans Serif"/>
          <w:i/>
          <w:lang w:val="en-US"/>
        </w:rPr>
        <w:t xml:space="preserve"> </w:t>
      </w:r>
      <w:r w:rsidRPr="00ED4717">
        <w:rPr>
          <w:rFonts w:ascii="Microsoft Sans Serif" w:hAnsi="Microsoft Sans Serif" w:cs="Microsoft Sans Serif"/>
          <w:lang w:val="en-US"/>
        </w:rPr>
        <w:t>(</w:t>
      </w:r>
      <w:r w:rsidR="00ED4717" w:rsidRPr="00ED4717">
        <w:rPr>
          <w:rFonts w:ascii="Microsoft Sans Serif" w:hAnsi="Microsoft Sans Serif" w:cs="Microsoft Sans Serif"/>
          <w:lang w:val="en-US"/>
        </w:rPr>
        <w:t>Fn</w:t>
      </w:r>
      <w:r w:rsidRPr="00ED4717">
        <w:rPr>
          <w:rFonts w:ascii="Microsoft Sans Serif" w:hAnsi="Microsoft Sans Serif" w:cs="Microsoft Sans Serif"/>
          <w:lang w:val="en-US"/>
        </w:rPr>
        <w:t>.</w:t>
      </w:r>
      <w:r w:rsidR="00ED4717">
        <w:rPr>
          <w:rFonts w:ascii="Microsoft Sans Serif" w:hAnsi="Microsoft Sans Serif" w:cs="Microsoft Sans Serif"/>
          <w:lang w:val="en-US"/>
        </w:rPr>
        <w:t> </w:t>
      </w:r>
      <w:r w:rsidR="00ED4717">
        <w:rPr>
          <w:rFonts w:ascii="Microsoft Sans Serif" w:hAnsi="Microsoft Sans Serif" w:cs="Microsoft Sans Serif"/>
          <w:lang w:val="en-US"/>
        </w:rPr>
        <w:fldChar w:fldCharType="begin"/>
      </w:r>
      <w:r w:rsidR="00ED4717">
        <w:rPr>
          <w:rFonts w:ascii="Microsoft Sans Serif" w:hAnsi="Microsoft Sans Serif" w:cs="Microsoft Sans Serif"/>
          <w:lang w:val="en-US"/>
        </w:rPr>
        <w:instrText xml:space="preserve"> NOTEREF _Ref375651497 \h </w:instrText>
      </w:r>
      <w:r w:rsidR="00ED4717">
        <w:rPr>
          <w:rFonts w:ascii="Microsoft Sans Serif" w:hAnsi="Microsoft Sans Serif" w:cs="Microsoft Sans Serif"/>
          <w:lang w:val="en-US"/>
        </w:rPr>
      </w:r>
      <w:r w:rsidR="00ED4717">
        <w:rPr>
          <w:rFonts w:ascii="Microsoft Sans Serif" w:hAnsi="Microsoft Sans Serif" w:cs="Microsoft Sans Serif"/>
          <w:lang w:val="en-US"/>
        </w:rPr>
        <w:fldChar w:fldCharType="separate"/>
      </w:r>
      <w:r w:rsidR="00ED4717">
        <w:rPr>
          <w:rFonts w:ascii="Microsoft Sans Serif" w:hAnsi="Microsoft Sans Serif" w:cs="Microsoft Sans Serif"/>
          <w:lang w:val="en-US"/>
        </w:rPr>
        <w:t>3</w:t>
      </w:r>
      <w:r w:rsidR="00ED4717">
        <w:rPr>
          <w:rFonts w:ascii="Microsoft Sans Serif" w:hAnsi="Microsoft Sans Serif" w:cs="Microsoft Sans Serif"/>
          <w:lang w:val="en-US"/>
        </w:rPr>
        <w:fldChar w:fldCharType="end"/>
      </w:r>
      <w:r w:rsidRPr="00ED4717">
        <w:rPr>
          <w:rFonts w:ascii="Microsoft Sans Serif" w:hAnsi="Microsoft Sans Serif" w:cs="Microsoft Sans Serif"/>
          <w:lang w:val="en-US"/>
        </w:rPr>
        <w:t>), S. </w:t>
      </w:r>
      <w:r w:rsidR="001A4B67" w:rsidRPr="00ED4717">
        <w:rPr>
          <w:rFonts w:ascii="Microsoft Sans Serif" w:hAnsi="Microsoft Sans Serif" w:cs="Microsoft Sans Serif"/>
          <w:lang w:val="en-US"/>
        </w:rPr>
        <w:t>443</w:t>
      </w:r>
      <w:r w:rsidR="00942970">
        <w:rPr>
          <w:rFonts w:ascii="Microsoft Sans Serif" w:hAnsi="Microsoft Sans Serif" w:cs="Microsoft Sans Serif"/>
          <w:lang w:val="en-US"/>
        </w:rPr>
        <w:noBreakHyphen/>
      </w:r>
      <w:r w:rsidR="001A4B67" w:rsidRPr="00ED4717">
        <w:rPr>
          <w:rFonts w:ascii="Microsoft Sans Serif" w:hAnsi="Microsoft Sans Serif" w:cs="Microsoft Sans Serif"/>
          <w:lang w:val="en-US"/>
        </w:rPr>
        <w:t>473.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0019C"/>
    <w:multiLevelType w:val="hybridMultilevel"/>
    <w:tmpl w:val="1F98546E"/>
    <w:lvl w:ilvl="0" w:tplc="C602B756">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B08507F"/>
    <w:multiLevelType w:val="hybridMultilevel"/>
    <w:tmpl w:val="43208092"/>
    <w:lvl w:ilvl="0" w:tplc="B2BA3C6A">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FD43292"/>
    <w:multiLevelType w:val="hybridMultilevel"/>
    <w:tmpl w:val="33E41B5C"/>
    <w:lvl w:ilvl="0" w:tplc="0346EB08">
      <w:start w:val="1"/>
      <w:numFmt w:val="decimal"/>
      <w:pStyle w:val="berschrift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2681552"/>
    <w:multiLevelType w:val="hybridMultilevel"/>
    <w:tmpl w:val="BDDE63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2E159E3"/>
    <w:multiLevelType w:val="hybridMultilevel"/>
    <w:tmpl w:val="E17281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A187450"/>
    <w:multiLevelType w:val="hybridMultilevel"/>
    <w:tmpl w:val="88547C00"/>
    <w:lvl w:ilvl="0" w:tplc="B478F29A">
      <w:start w:val="1"/>
      <w:numFmt w:val="decimal"/>
      <w:pStyle w:val="berschrift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AEE4FA4"/>
    <w:multiLevelType w:val="hybridMultilevel"/>
    <w:tmpl w:val="03AA071E"/>
    <w:lvl w:ilvl="0" w:tplc="3300F614">
      <w:start w:val="1"/>
      <w:numFmt w:val="upperRoman"/>
      <w:pStyle w:val="berschrift1"/>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B8576DD"/>
    <w:multiLevelType w:val="hybridMultilevel"/>
    <w:tmpl w:val="99B089EC"/>
    <w:lvl w:ilvl="0" w:tplc="CBD68A6A">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7"/>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E69"/>
    <w:rsid w:val="000008E3"/>
    <w:rsid w:val="00015128"/>
    <w:rsid w:val="00071667"/>
    <w:rsid w:val="000720B0"/>
    <w:rsid w:val="000A19C7"/>
    <w:rsid w:val="000B00B6"/>
    <w:rsid w:val="000B1472"/>
    <w:rsid w:val="000B30E8"/>
    <w:rsid w:val="000B414A"/>
    <w:rsid w:val="000D2289"/>
    <w:rsid w:val="00173738"/>
    <w:rsid w:val="001A4B67"/>
    <w:rsid w:val="001C149D"/>
    <w:rsid w:val="001D314D"/>
    <w:rsid w:val="001F0BFB"/>
    <w:rsid w:val="001F48EA"/>
    <w:rsid w:val="001F7DF7"/>
    <w:rsid w:val="002478A7"/>
    <w:rsid w:val="002519AA"/>
    <w:rsid w:val="00264BF0"/>
    <w:rsid w:val="00275DAE"/>
    <w:rsid w:val="002854BC"/>
    <w:rsid w:val="002C6271"/>
    <w:rsid w:val="002D4A0A"/>
    <w:rsid w:val="002F087C"/>
    <w:rsid w:val="00316C8C"/>
    <w:rsid w:val="003570B8"/>
    <w:rsid w:val="00374947"/>
    <w:rsid w:val="00397D44"/>
    <w:rsid w:val="003A11E7"/>
    <w:rsid w:val="003B065E"/>
    <w:rsid w:val="003C47EE"/>
    <w:rsid w:val="003D6719"/>
    <w:rsid w:val="003F136F"/>
    <w:rsid w:val="003F2945"/>
    <w:rsid w:val="003F3EE9"/>
    <w:rsid w:val="00400076"/>
    <w:rsid w:val="00430F74"/>
    <w:rsid w:val="00436686"/>
    <w:rsid w:val="00445ED6"/>
    <w:rsid w:val="00455A6F"/>
    <w:rsid w:val="00467B49"/>
    <w:rsid w:val="004A3544"/>
    <w:rsid w:val="004A470F"/>
    <w:rsid w:val="004C1492"/>
    <w:rsid w:val="004E2570"/>
    <w:rsid w:val="004F5E3C"/>
    <w:rsid w:val="00500428"/>
    <w:rsid w:val="00502135"/>
    <w:rsid w:val="00513393"/>
    <w:rsid w:val="00547151"/>
    <w:rsid w:val="00567514"/>
    <w:rsid w:val="0062297A"/>
    <w:rsid w:val="006361EC"/>
    <w:rsid w:val="00646D8B"/>
    <w:rsid w:val="006608C0"/>
    <w:rsid w:val="00667D0A"/>
    <w:rsid w:val="0069322F"/>
    <w:rsid w:val="0069475E"/>
    <w:rsid w:val="006A5E69"/>
    <w:rsid w:val="006C423A"/>
    <w:rsid w:val="006D33E7"/>
    <w:rsid w:val="006F116D"/>
    <w:rsid w:val="00713CE9"/>
    <w:rsid w:val="00716B64"/>
    <w:rsid w:val="00763872"/>
    <w:rsid w:val="007715C2"/>
    <w:rsid w:val="007715CD"/>
    <w:rsid w:val="007A2C9D"/>
    <w:rsid w:val="007C3CFC"/>
    <w:rsid w:val="008049D1"/>
    <w:rsid w:val="00824F7C"/>
    <w:rsid w:val="00830CC8"/>
    <w:rsid w:val="00835911"/>
    <w:rsid w:val="00842490"/>
    <w:rsid w:val="00852739"/>
    <w:rsid w:val="00870A2F"/>
    <w:rsid w:val="008751A5"/>
    <w:rsid w:val="008B3630"/>
    <w:rsid w:val="008C5150"/>
    <w:rsid w:val="008D01C7"/>
    <w:rsid w:val="008E04F1"/>
    <w:rsid w:val="008E530B"/>
    <w:rsid w:val="00911ABD"/>
    <w:rsid w:val="009264A0"/>
    <w:rsid w:val="00942970"/>
    <w:rsid w:val="00960BD0"/>
    <w:rsid w:val="009E1AF9"/>
    <w:rsid w:val="00A056CE"/>
    <w:rsid w:val="00A14A4B"/>
    <w:rsid w:val="00A41310"/>
    <w:rsid w:val="00A55C31"/>
    <w:rsid w:val="00A60B67"/>
    <w:rsid w:val="00A64234"/>
    <w:rsid w:val="00A931A8"/>
    <w:rsid w:val="00A962B4"/>
    <w:rsid w:val="00AA09F2"/>
    <w:rsid w:val="00AA314D"/>
    <w:rsid w:val="00AC1148"/>
    <w:rsid w:val="00AF2CB9"/>
    <w:rsid w:val="00B1065C"/>
    <w:rsid w:val="00B43EF4"/>
    <w:rsid w:val="00B51026"/>
    <w:rsid w:val="00B62F83"/>
    <w:rsid w:val="00B757C1"/>
    <w:rsid w:val="00B963B3"/>
    <w:rsid w:val="00BE1B92"/>
    <w:rsid w:val="00BF7A35"/>
    <w:rsid w:val="00C21EB6"/>
    <w:rsid w:val="00C40D33"/>
    <w:rsid w:val="00CE22FD"/>
    <w:rsid w:val="00D13772"/>
    <w:rsid w:val="00D209B7"/>
    <w:rsid w:val="00D257E4"/>
    <w:rsid w:val="00DC0958"/>
    <w:rsid w:val="00DD3FBD"/>
    <w:rsid w:val="00DE1952"/>
    <w:rsid w:val="00DE518F"/>
    <w:rsid w:val="00DE59B2"/>
    <w:rsid w:val="00E21D82"/>
    <w:rsid w:val="00E26F42"/>
    <w:rsid w:val="00E37BF2"/>
    <w:rsid w:val="00E43417"/>
    <w:rsid w:val="00E5635E"/>
    <w:rsid w:val="00E63AB5"/>
    <w:rsid w:val="00E8787B"/>
    <w:rsid w:val="00E92BCC"/>
    <w:rsid w:val="00EB76F9"/>
    <w:rsid w:val="00EC7BF7"/>
    <w:rsid w:val="00ED14E3"/>
    <w:rsid w:val="00ED4717"/>
    <w:rsid w:val="00EE706E"/>
    <w:rsid w:val="00FD55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652B1-EB67-43BB-AABE-FE0130F7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48EA"/>
    <w:rPr>
      <w:rFonts w:ascii="Arial" w:hAnsi="Arial"/>
    </w:rPr>
  </w:style>
  <w:style w:type="paragraph" w:styleId="berschrift1">
    <w:name w:val="heading 1"/>
    <w:basedOn w:val="Standard"/>
    <w:next w:val="Standard"/>
    <w:link w:val="berschrift1Zchn"/>
    <w:uiPriority w:val="9"/>
    <w:qFormat/>
    <w:rsid w:val="000A19C7"/>
    <w:pPr>
      <w:keepNext/>
      <w:keepLines/>
      <w:numPr>
        <w:numId w:val="8"/>
      </w:numPr>
      <w:spacing w:before="360" w:after="120"/>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chn"/>
    <w:uiPriority w:val="9"/>
    <w:unhideWhenUsed/>
    <w:qFormat/>
    <w:rsid w:val="000A19C7"/>
    <w:pPr>
      <w:keepNext/>
      <w:keepLines/>
      <w:numPr>
        <w:numId w:val="6"/>
      </w:numPr>
      <w:spacing w:after="0" w:line="360" w:lineRule="auto"/>
      <w:outlineLvl w:val="1"/>
    </w:pPr>
    <w:rPr>
      <w:rFonts w:eastAsiaTheme="majorEastAsia" w:cstheme="majorBidi"/>
      <w:b/>
      <w:color w:val="000000" w:themeColor="text1"/>
      <w:sz w:val="24"/>
      <w:szCs w:val="26"/>
    </w:rPr>
  </w:style>
  <w:style w:type="paragraph" w:styleId="berschrift3">
    <w:name w:val="heading 3"/>
    <w:basedOn w:val="Standard"/>
    <w:next w:val="Standard"/>
    <w:link w:val="berschrift3Zchn"/>
    <w:uiPriority w:val="9"/>
    <w:unhideWhenUsed/>
    <w:qFormat/>
    <w:rsid w:val="001F48EA"/>
    <w:pPr>
      <w:keepNext/>
      <w:keepLines/>
      <w:numPr>
        <w:numId w:val="7"/>
      </w:numPr>
      <w:spacing w:before="120" w:after="120"/>
      <w:outlineLvl w:val="2"/>
    </w:pPr>
    <w:rPr>
      <w:rFonts w:eastAsiaTheme="majorEastAsia" w:cstheme="majorBidi"/>
      <w:b/>
      <w:color w:val="000000" w:themeColor="tex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6A5E6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A5E69"/>
    <w:rPr>
      <w:sz w:val="20"/>
      <w:szCs w:val="20"/>
    </w:rPr>
  </w:style>
  <w:style w:type="character" w:styleId="Funotenzeichen">
    <w:name w:val="footnote reference"/>
    <w:basedOn w:val="Absatz-Standardschriftart"/>
    <w:semiHidden/>
    <w:unhideWhenUsed/>
    <w:rsid w:val="006A5E69"/>
    <w:rPr>
      <w:vertAlign w:val="superscript"/>
    </w:rPr>
  </w:style>
  <w:style w:type="paragraph" w:styleId="Listenabsatz">
    <w:name w:val="List Paragraph"/>
    <w:basedOn w:val="Standard"/>
    <w:uiPriority w:val="34"/>
    <w:qFormat/>
    <w:rsid w:val="006A5E69"/>
    <w:pPr>
      <w:ind w:left="720"/>
      <w:contextualSpacing/>
    </w:pPr>
  </w:style>
  <w:style w:type="character" w:styleId="Hyperlink">
    <w:name w:val="Hyperlink"/>
    <w:basedOn w:val="Absatz-Standardschriftart"/>
    <w:uiPriority w:val="99"/>
    <w:unhideWhenUsed/>
    <w:rsid w:val="006A5E69"/>
    <w:rPr>
      <w:color w:val="0000FF" w:themeColor="hyperlink"/>
      <w:u w:val="single"/>
    </w:rPr>
  </w:style>
  <w:style w:type="paragraph" w:styleId="Kopfzeile">
    <w:name w:val="header"/>
    <w:basedOn w:val="Standard"/>
    <w:link w:val="KopfzeileZchn"/>
    <w:uiPriority w:val="99"/>
    <w:unhideWhenUsed/>
    <w:rsid w:val="00467B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7B49"/>
  </w:style>
  <w:style w:type="paragraph" w:styleId="Fuzeile">
    <w:name w:val="footer"/>
    <w:basedOn w:val="Standard"/>
    <w:link w:val="FuzeileZchn"/>
    <w:uiPriority w:val="99"/>
    <w:unhideWhenUsed/>
    <w:rsid w:val="00467B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7B49"/>
  </w:style>
  <w:style w:type="character" w:customStyle="1" w:styleId="berschrift1Zchn">
    <w:name w:val="Überschrift 1 Zchn"/>
    <w:basedOn w:val="Absatz-Standardschriftart"/>
    <w:link w:val="berschrift1"/>
    <w:uiPriority w:val="9"/>
    <w:rsid w:val="000A19C7"/>
    <w:rPr>
      <w:rFonts w:ascii="Arial" w:eastAsiaTheme="majorEastAsia" w:hAnsi="Arial" w:cstheme="majorBidi"/>
      <w:b/>
      <w:color w:val="000000" w:themeColor="text1"/>
      <w:sz w:val="28"/>
      <w:szCs w:val="32"/>
    </w:rPr>
  </w:style>
  <w:style w:type="character" w:customStyle="1" w:styleId="berschrift2Zchn">
    <w:name w:val="Überschrift 2 Zchn"/>
    <w:basedOn w:val="Absatz-Standardschriftart"/>
    <w:link w:val="berschrift2"/>
    <w:uiPriority w:val="9"/>
    <w:rsid w:val="000A19C7"/>
    <w:rPr>
      <w:rFonts w:ascii="Arial" w:eastAsiaTheme="majorEastAsia" w:hAnsi="Arial" w:cstheme="majorBidi"/>
      <w:b/>
      <w:color w:val="000000" w:themeColor="text1"/>
      <w:sz w:val="24"/>
      <w:szCs w:val="26"/>
    </w:rPr>
  </w:style>
  <w:style w:type="character" w:customStyle="1" w:styleId="berschrift3Zchn">
    <w:name w:val="Überschrift 3 Zchn"/>
    <w:basedOn w:val="Absatz-Standardschriftart"/>
    <w:link w:val="berschrift3"/>
    <w:uiPriority w:val="9"/>
    <w:rsid w:val="001F48EA"/>
    <w:rPr>
      <w:rFonts w:ascii="Arial" w:eastAsiaTheme="majorEastAsia" w:hAnsi="Arial" w:cstheme="majorBidi"/>
      <w:b/>
      <w:color w:val="000000" w:themeColor="text1"/>
      <w:sz w:val="24"/>
      <w:szCs w:val="24"/>
    </w:rPr>
  </w:style>
  <w:style w:type="paragraph" w:styleId="Titel">
    <w:name w:val="Title"/>
    <w:basedOn w:val="Standard"/>
    <w:next w:val="Standard"/>
    <w:link w:val="TitelZchn"/>
    <w:uiPriority w:val="10"/>
    <w:qFormat/>
    <w:rsid w:val="004A3544"/>
    <w:pPr>
      <w:spacing w:before="120" w:after="120" w:line="240" w:lineRule="auto"/>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4A3544"/>
    <w:rPr>
      <w:rFonts w:ascii="Arial" w:eastAsiaTheme="majorEastAsia" w:hAnsi="Arial" w:cstheme="majorBidi"/>
      <w:b/>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nstitut-fuer-menschenrecht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CCA1A-07F5-4456-B629-26D75D04D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3068</Words>
  <Characters>20807</Characters>
  <Application>Microsoft Office Word</Application>
  <DocSecurity>0</DocSecurity>
  <Lines>297</Lines>
  <Paragraphs>36</Paragraphs>
  <ScaleCrop>false</ScaleCrop>
  <HeadingPairs>
    <vt:vector size="2" baseType="variant">
      <vt:variant>
        <vt:lpstr>Titel</vt:lpstr>
      </vt:variant>
      <vt:variant>
        <vt:i4>1</vt:i4>
      </vt:variant>
    </vt:vector>
  </HeadingPairs>
  <TitlesOfParts>
    <vt:vector size="1" baseType="lpstr">
      <vt:lpstr>Die UN-„Frauenrechtskonvention“ CEDAW – universeller Maßstab für alle Politikbereiche</vt:lpstr>
    </vt:vector>
  </TitlesOfParts>
  <Company/>
  <LinksUpToDate>false</LinksUpToDate>
  <CharactersWithSpaces>23839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UN-„Frauenrechtskonvention“ CEDAW – universeller Maßstab für alle Politikbereiche</dc:title>
  <dc:subject/>
  <dc:creator>Beate Rudolf</dc:creator>
  <cp:keywords/>
  <dc:description/>
  <cp:lastModifiedBy>Jaroszewsky, Maria</cp:lastModifiedBy>
  <cp:revision>5</cp:revision>
  <dcterms:created xsi:type="dcterms:W3CDTF">2022-02-25T12:03:00Z</dcterms:created>
  <dcterms:modified xsi:type="dcterms:W3CDTF">2022-02-28T09:34:00Z</dcterms:modified>
</cp:coreProperties>
</file>